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D487D" w14:textId="77777777" w:rsidR="00CE73B6" w:rsidRPr="00CE73B6" w:rsidRDefault="00CE73B6" w:rsidP="00CE73B6">
      <w:pPr>
        <w:spacing w:after="0"/>
        <w:jc w:val="left"/>
        <w:rPr>
          <w:rFonts w:eastAsia="Times New Roman" w:cs="Arial"/>
          <w:i/>
          <w:iCs/>
          <w:sz w:val="18"/>
          <w:szCs w:val="18"/>
          <w:lang w:eastAsia="fr-FR"/>
        </w:rPr>
      </w:pPr>
      <w:r w:rsidRPr="00CE73B6">
        <w:rPr>
          <w:rFonts w:eastAsia="Times New Roman" w:cs="Arial"/>
          <w:i/>
          <w:iCs/>
          <w:sz w:val="18"/>
          <w:szCs w:val="18"/>
          <w:lang w:eastAsia="fr-FR"/>
        </w:rPr>
        <w:t>Dossier suivi par Mariette NUBAHIMANA et supervisé par Isabelle VASTICO</w:t>
      </w:r>
    </w:p>
    <w:p w14:paraId="5032E3FD" w14:textId="77777777" w:rsidR="00CE73B6" w:rsidRPr="00CE73B6" w:rsidRDefault="00CE73B6" w:rsidP="00CE73B6">
      <w:pPr>
        <w:jc w:val="left"/>
        <w:rPr>
          <w:rFonts w:eastAsia="Times New Roman" w:cs="Arial"/>
          <w:i/>
          <w:iCs/>
          <w:sz w:val="18"/>
          <w:szCs w:val="18"/>
          <w:lang w:eastAsia="fr-FR"/>
        </w:rPr>
      </w:pPr>
      <w:r w:rsidRPr="00CE73B6">
        <w:rPr>
          <w:rFonts w:eastAsia="Times New Roman" w:cs="Arial"/>
          <w:i/>
          <w:iCs/>
          <w:sz w:val="18"/>
          <w:szCs w:val="18"/>
          <w:lang w:eastAsia="fr-FR"/>
        </w:rPr>
        <w:t xml:space="preserve">Mail : </w:t>
      </w:r>
      <w:hyperlink r:id="rId11" w:history="1">
        <w:r w:rsidRPr="00CE73B6">
          <w:rPr>
            <w:rFonts w:eastAsia="Times New Roman" w:cs="Arial"/>
            <w:i/>
            <w:iCs/>
            <w:color w:val="0563C1" w:themeColor="hyperlink"/>
            <w:sz w:val="18"/>
            <w:szCs w:val="18"/>
            <w:u w:val="single"/>
            <w:lang w:eastAsia="fr-FR"/>
          </w:rPr>
          <w:t>achats.lyon@inserm.fr</w:t>
        </w:r>
      </w:hyperlink>
      <w:r w:rsidRPr="00CE73B6">
        <w:rPr>
          <w:rFonts w:eastAsia="Times New Roman" w:cs="Arial"/>
          <w:i/>
          <w:iCs/>
          <w:sz w:val="18"/>
          <w:szCs w:val="18"/>
          <w:lang w:eastAsia="fr-FR"/>
        </w:rPr>
        <w:t xml:space="preserve"> </w:t>
      </w:r>
    </w:p>
    <w:p w14:paraId="781F93BC" w14:textId="77777777" w:rsidR="0076684F" w:rsidRDefault="0076684F" w:rsidP="0076684F"/>
    <w:p w14:paraId="6E738EC7" w14:textId="77777777" w:rsidR="0076684F" w:rsidRDefault="0076684F" w:rsidP="0076684F"/>
    <w:p w14:paraId="62394F51" w14:textId="77777777" w:rsidR="0076684F" w:rsidRDefault="0076684F" w:rsidP="0076684F"/>
    <w:p w14:paraId="4BA4CD56" w14:textId="77777777" w:rsidR="0076684F" w:rsidRDefault="0076684F" w:rsidP="0076684F"/>
    <w:p w14:paraId="0C664033" w14:textId="77777777" w:rsidR="0076684F" w:rsidRDefault="0076684F" w:rsidP="14EEBE26">
      <w:pPr>
        <w:tabs>
          <w:tab w:val="center" w:pos="4536"/>
          <w:tab w:val="left" w:pos="7000"/>
        </w:tabs>
        <w:jc w:val="center"/>
        <w:rPr>
          <w:rFonts w:cs="Arial"/>
          <w:b/>
          <w:bCs/>
          <w:sz w:val="24"/>
          <w:szCs w:val="24"/>
        </w:rPr>
      </w:pPr>
      <w:r w:rsidRPr="00C75F24">
        <w:rPr>
          <w:rFonts w:cs="Arial"/>
          <w:b/>
          <w:bCs/>
          <w:sz w:val="24"/>
          <w:szCs w:val="24"/>
        </w:rPr>
        <w:t>Cahier des clauses administratives particulières (CCAP)</w:t>
      </w:r>
    </w:p>
    <w:p w14:paraId="3B231B41" w14:textId="455A2E94" w:rsidR="003D5D4E" w:rsidRPr="009D4051" w:rsidRDefault="003D5D4E" w:rsidP="14EEBE26">
      <w:pPr>
        <w:tabs>
          <w:tab w:val="center" w:pos="4536"/>
          <w:tab w:val="left" w:pos="7000"/>
        </w:tabs>
        <w:jc w:val="center"/>
        <w:rPr>
          <w:rFonts w:cs="Arial"/>
          <w:b/>
          <w:bCs/>
          <w:sz w:val="24"/>
          <w:szCs w:val="24"/>
        </w:rPr>
      </w:pPr>
      <w:proofErr w:type="gramStart"/>
      <w:r>
        <w:rPr>
          <w:rFonts w:cs="Arial"/>
          <w:b/>
          <w:bCs/>
          <w:sz w:val="24"/>
          <w:szCs w:val="24"/>
        </w:rPr>
        <w:t>n</w:t>
      </w:r>
      <w:proofErr w:type="gramEnd"/>
      <w:r>
        <w:rPr>
          <w:rFonts w:cs="Arial"/>
          <w:b/>
          <w:bCs/>
          <w:sz w:val="24"/>
          <w:szCs w:val="24"/>
        </w:rPr>
        <w:t>°</w:t>
      </w:r>
      <w:r w:rsidRPr="003D5D4E">
        <w:rPr>
          <w:rFonts w:cs="Arial"/>
          <w:b/>
          <w:color w:val="3333FF"/>
          <w:sz w:val="22"/>
        </w:rPr>
        <w:t xml:space="preserve"> </w:t>
      </w:r>
      <w:r w:rsidRPr="003D5D4E">
        <w:rPr>
          <w:rFonts w:cs="Arial"/>
          <w:b/>
          <w:sz w:val="22"/>
        </w:rPr>
        <w:t>INSERM-ARA-2025-15</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98"/>
      </w:tblGrid>
      <w:tr w:rsidR="0076684F" w14:paraId="18E01F0B" w14:textId="77777777" w:rsidTr="00E2249C">
        <w:trPr>
          <w:trHeight w:val="1841"/>
        </w:trPr>
        <w:tc>
          <w:tcPr>
            <w:tcW w:w="8998" w:type="dxa"/>
          </w:tcPr>
          <w:p w14:paraId="49B9A3D7" w14:textId="77777777" w:rsidR="0076684F" w:rsidRDefault="0076684F" w:rsidP="008B7EE5"/>
          <w:p w14:paraId="63D36EE5" w14:textId="77777777" w:rsidR="00E2249C" w:rsidRDefault="00D207D7" w:rsidP="00E2249C">
            <w:pPr>
              <w:pBdr>
                <w:top w:val="single" w:sz="4" w:space="1" w:color="auto"/>
                <w:left w:val="single" w:sz="4" w:space="4" w:color="auto"/>
                <w:bottom w:val="single" w:sz="4" w:space="1" w:color="auto"/>
                <w:right w:val="single" w:sz="4" w:space="4" w:color="auto"/>
              </w:pBdr>
              <w:spacing w:after="160" w:line="259" w:lineRule="auto"/>
              <w:jc w:val="center"/>
              <w:rPr>
                <w:b/>
                <w:sz w:val="24"/>
              </w:rPr>
            </w:pPr>
            <w:bookmarkStart w:id="0" w:name="_Hlk206765487"/>
            <w:r>
              <w:rPr>
                <w:rFonts w:eastAsia="Times New Roman" w:cs="Times New Roman"/>
                <w:b/>
                <w:bCs/>
                <w:iCs/>
                <w:sz w:val="28"/>
                <w:szCs w:val="28"/>
                <w:lang w:eastAsia="fr-FR"/>
              </w:rPr>
              <w:t>Marché de travaux portant sur le remplacement de systèmes intrusion et alarmes techniques de 4 bâtiments et remplacement des alarmes techniques d’1 bâtiment</w:t>
            </w:r>
            <w:r w:rsidR="00E2249C">
              <w:rPr>
                <w:rFonts w:eastAsia="Times New Roman" w:cs="Times New Roman"/>
                <w:b/>
                <w:bCs/>
                <w:iCs/>
                <w:sz w:val="28"/>
                <w:szCs w:val="28"/>
                <w:lang w:eastAsia="fr-FR"/>
              </w:rPr>
              <w:t xml:space="preserve"> Inserm</w:t>
            </w:r>
            <w:r w:rsidR="00E2249C">
              <w:rPr>
                <w:b/>
                <w:sz w:val="24"/>
              </w:rPr>
              <w:t xml:space="preserve"> </w:t>
            </w:r>
          </w:p>
          <w:p w14:paraId="2CE99AB0" w14:textId="5D3E2FF3" w:rsidR="0076684F" w:rsidRDefault="00E2249C" w:rsidP="00E2249C">
            <w:pPr>
              <w:pBdr>
                <w:top w:val="single" w:sz="4" w:space="1" w:color="auto"/>
                <w:left w:val="single" w:sz="4" w:space="4" w:color="auto"/>
                <w:bottom w:val="single" w:sz="4" w:space="1" w:color="auto"/>
                <w:right w:val="single" w:sz="4" w:space="4" w:color="auto"/>
              </w:pBdr>
              <w:spacing w:after="160" w:line="259" w:lineRule="auto"/>
              <w:jc w:val="center"/>
            </w:pPr>
            <w:proofErr w:type="gramStart"/>
            <w:r w:rsidRPr="00F80229">
              <w:rPr>
                <w:rFonts w:cs="Times New Roman"/>
                <w:b/>
                <w:sz w:val="28"/>
                <w:szCs w:val="28"/>
              </w:rPr>
              <w:t>de</w:t>
            </w:r>
            <w:proofErr w:type="gramEnd"/>
            <w:r w:rsidRPr="00F80229">
              <w:rPr>
                <w:rFonts w:cs="Times New Roman"/>
                <w:b/>
                <w:sz w:val="28"/>
                <w:szCs w:val="28"/>
              </w:rPr>
              <w:t xml:space="preserve"> la Délégation </w:t>
            </w:r>
            <w:r>
              <w:rPr>
                <w:rFonts w:cs="Times New Roman"/>
                <w:b/>
                <w:sz w:val="28"/>
                <w:szCs w:val="28"/>
              </w:rPr>
              <w:t>r</w:t>
            </w:r>
            <w:r w:rsidRPr="00F80229">
              <w:rPr>
                <w:rFonts w:cs="Times New Roman"/>
                <w:b/>
                <w:sz w:val="28"/>
                <w:szCs w:val="28"/>
              </w:rPr>
              <w:t>égionale Auvergne</w:t>
            </w:r>
            <w:r>
              <w:rPr>
                <w:rFonts w:cs="Times New Roman"/>
                <w:b/>
                <w:sz w:val="28"/>
                <w:szCs w:val="28"/>
              </w:rPr>
              <w:t>, Rhône-Alpes</w:t>
            </w:r>
            <w:bookmarkEnd w:id="0"/>
          </w:p>
        </w:tc>
      </w:tr>
    </w:tbl>
    <w:p w14:paraId="53E4646C" w14:textId="77777777" w:rsidR="0076684F" w:rsidRDefault="0076684F" w:rsidP="0076684F"/>
    <w:p w14:paraId="7BED58CD" w14:textId="77777777" w:rsidR="0076684F" w:rsidRDefault="0076684F" w:rsidP="0076684F"/>
    <w:p w14:paraId="5B749AF2" w14:textId="77777777" w:rsidR="0076684F" w:rsidRDefault="0076684F" w:rsidP="0076684F"/>
    <w:tbl>
      <w:tblPr>
        <w:tblStyle w:val="Grilledutableau"/>
        <w:tblW w:w="0" w:type="auto"/>
        <w:tblLook w:val="04A0" w:firstRow="1" w:lastRow="0" w:firstColumn="1" w:lastColumn="0" w:noHBand="0" w:noVBand="1"/>
      </w:tblPr>
      <w:tblGrid>
        <w:gridCol w:w="9062"/>
      </w:tblGrid>
      <w:tr w:rsidR="0076684F" w14:paraId="3F819DAB" w14:textId="77777777" w:rsidTr="00075F1D">
        <w:trPr>
          <w:trHeight w:val="2263"/>
        </w:trPr>
        <w:tc>
          <w:tcPr>
            <w:tcW w:w="9062" w:type="dxa"/>
          </w:tcPr>
          <w:p w14:paraId="63A88D25" w14:textId="00298574" w:rsidR="00075F1D" w:rsidRDefault="00075F1D" w:rsidP="00075F1D">
            <w:pPr>
              <w:jc w:val="center"/>
              <w:rPr>
                <w:rFonts w:eastAsia="Times New Roman" w:cs="Times New Roman"/>
                <w:b/>
                <w:szCs w:val="20"/>
                <w:lang w:eastAsia="fr-FR"/>
              </w:rPr>
            </w:pPr>
          </w:p>
          <w:p w14:paraId="38556B63" w14:textId="0291F675" w:rsidR="00D207D7" w:rsidRDefault="00D207D7" w:rsidP="00075F1D">
            <w:pPr>
              <w:jc w:val="center"/>
              <w:rPr>
                <w:rFonts w:eastAsia="Times New Roman" w:cs="Times New Roman"/>
                <w:b/>
                <w:szCs w:val="20"/>
                <w:lang w:eastAsia="fr-FR"/>
              </w:rPr>
            </w:pPr>
            <w:r>
              <w:rPr>
                <w:rFonts w:eastAsia="Times New Roman" w:cs="Times New Roman"/>
                <w:b/>
                <w:szCs w:val="20"/>
                <w:lang w:eastAsia="fr-FR"/>
              </w:rPr>
              <w:t xml:space="preserve">Pouvoir Adjudicateur : </w:t>
            </w:r>
          </w:p>
          <w:p w14:paraId="40A140F5" w14:textId="57D4C136" w:rsidR="00D207D7" w:rsidRPr="00D207D7" w:rsidRDefault="00D207D7" w:rsidP="00075F1D">
            <w:pPr>
              <w:jc w:val="center"/>
              <w:rPr>
                <w:rFonts w:eastAsia="Times New Roman" w:cs="Times New Roman"/>
                <w:bCs/>
                <w:szCs w:val="20"/>
                <w:lang w:eastAsia="fr-FR"/>
              </w:rPr>
            </w:pPr>
            <w:r w:rsidRPr="00D207D7">
              <w:rPr>
                <w:rFonts w:eastAsia="Times New Roman" w:cs="Times New Roman"/>
                <w:bCs/>
                <w:szCs w:val="20"/>
                <w:lang w:eastAsia="fr-FR"/>
              </w:rPr>
              <w:t>Institut National de la Santé et de la Recherche Médicale (Inserm)</w:t>
            </w:r>
          </w:p>
          <w:p w14:paraId="0D7649A3" w14:textId="77777777" w:rsidR="00D207D7" w:rsidRDefault="00D207D7" w:rsidP="00D207D7">
            <w:pPr>
              <w:spacing w:before="120"/>
              <w:jc w:val="center"/>
              <w:rPr>
                <w:rFonts w:eastAsia="Times New Roman" w:cs="Times New Roman"/>
                <w:b/>
                <w:szCs w:val="20"/>
                <w:lang w:eastAsia="fr-FR"/>
              </w:rPr>
            </w:pPr>
          </w:p>
          <w:p w14:paraId="31E48002" w14:textId="4D854A0A" w:rsidR="00075F1D" w:rsidRPr="00F34C8E" w:rsidRDefault="00075F1D" w:rsidP="00D207D7">
            <w:pPr>
              <w:spacing w:before="120"/>
              <w:jc w:val="center"/>
              <w:rPr>
                <w:rFonts w:eastAsia="Times New Roman" w:cs="Times New Roman"/>
                <w:b/>
                <w:szCs w:val="20"/>
                <w:lang w:eastAsia="fr-FR"/>
              </w:rPr>
            </w:pPr>
            <w:r w:rsidRPr="00F34C8E">
              <w:rPr>
                <w:rFonts w:eastAsia="Times New Roman" w:cs="Times New Roman"/>
                <w:b/>
                <w:szCs w:val="20"/>
                <w:lang w:eastAsia="fr-FR"/>
              </w:rPr>
              <w:t>Inserm Délégation régionale Auvergne, Rhône-Alpes</w:t>
            </w:r>
            <w:r w:rsidRPr="00F34C8E">
              <w:rPr>
                <w:rFonts w:eastAsia="Times New Roman" w:cs="Times New Roman"/>
                <w:b/>
                <w:szCs w:val="20"/>
                <w:lang w:eastAsia="fr-FR"/>
              </w:rPr>
              <w:br/>
            </w:r>
            <w:r w:rsidRPr="00F34C8E">
              <w:rPr>
                <w:rFonts w:eastAsia="Times New Roman" w:cs="Times New Roman"/>
                <w:b/>
                <w:szCs w:val="20"/>
                <w:lang w:eastAsia="fr-FR"/>
              </w:rPr>
              <w:br/>
              <w:t>Centre hospitalier du Vinatier</w:t>
            </w:r>
          </w:p>
          <w:p w14:paraId="260FA0CC" w14:textId="77777777" w:rsidR="00075F1D" w:rsidRPr="00F34C8E" w:rsidRDefault="00075F1D" w:rsidP="00075F1D">
            <w:pPr>
              <w:jc w:val="center"/>
              <w:rPr>
                <w:rFonts w:eastAsia="Times New Roman" w:cs="Times New Roman"/>
                <w:b/>
                <w:szCs w:val="20"/>
                <w:lang w:eastAsia="fr-FR"/>
              </w:rPr>
            </w:pPr>
            <w:r w:rsidRPr="00F34C8E">
              <w:rPr>
                <w:rFonts w:eastAsia="Times New Roman" w:cs="Times New Roman"/>
                <w:b/>
                <w:szCs w:val="20"/>
                <w:lang w:eastAsia="fr-FR"/>
              </w:rPr>
              <w:t>Bâtiment 452</w:t>
            </w:r>
          </w:p>
          <w:p w14:paraId="4098844E" w14:textId="77777777" w:rsidR="00075F1D" w:rsidRPr="00F34C8E" w:rsidRDefault="00075F1D" w:rsidP="00075F1D">
            <w:pPr>
              <w:jc w:val="center"/>
              <w:rPr>
                <w:rFonts w:eastAsia="Times New Roman" w:cs="Times New Roman"/>
                <w:b/>
                <w:szCs w:val="20"/>
                <w:lang w:eastAsia="fr-FR"/>
              </w:rPr>
            </w:pPr>
            <w:r w:rsidRPr="00F34C8E">
              <w:rPr>
                <w:rFonts w:eastAsia="Times New Roman" w:cs="Times New Roman"/>
                <w:b/>
                <w:szCs w:val="20"/>
                <w:lang w:eastAsia="fr-FR"/>
              </w:rPr>
              <w:t>95 boulevard Pinel</w:t>
            </w:r>
          </w:p>
          <w:p w14:paraId="62E67E21" w14:textId="36188824" w:rsidR="0076684F" w:rsidRPr="001054C2" w:rsidRDefault="00075F1D" w:rsidP="00075F1D">
            <w:pPr>
              <w:spacing w:line="360" w:lineRule="auto"/>
              <w:jc w:val="center"/>
              <w:rPr>
                <w:rFonts w:asciiTheme="minorHAnsi" w:hAnsiTheme="minorHAnsi" w:cstheme="minorHAnsi"/>
                <w:b/>
                <w:szCs w:val="20"/>
              </w:rPr>
            </w:pPr>
            <w:r w:rsidRPr="001054C2">
              <w:rPr>
                <w:rFonts w:asciiTheme="minorHAnsi" w:eastAsia="Times New Roman" w:hAnsiTheme="minorHAnsi" w:cstheme="minorHAnsi"/>
                <w:b/>
                <w:sz w:val="22"/>
                <w:lang w:eastAsia="fr-FR"/>
              </w:rPr>
              <w:t>69500 Bron</w:t>
            </w:r>
          </w:p>
        </w:tc>
      </w:tr>
    </w:tbl>
    <w:p w14:paraId="6A8A6F40" w14:textId="77777777" w:rsidR="0076684F" w:rsidRDefault="0076684F" w:rsidP="0076684F">
      <w:pPr>
        <w:spacing w:after="0" w:line="240" w:lineRule="auto"/>
        <w:sectPr w:rsidR="0076684F" w:rsidSect="0076684F">
          <w:footerReference w:type="default" r:id="rId12"/>
          <w:headerReference w:type="first" r:id="rId13"/>
          <w:type w:val="continuous"/>
          <w:pgSz w:w="11906" w:h="16838"/>
          <w:pgMar w:top="1417" w:right="1417" w:bottom="1417" w:left="1417" w:header="708" w:footer="708" w:gutter="0"/>
          <w:cols w:space="708"/>
          <w:titlePg/>
          <w:docGrid w:linePitch="360"/>
        </w:sectPr>
      </w:pPr>
      <w:r>
        <w:br w:type="page"/>
      </w:r>
    </w:p>
    <w:p w14:paraId="5BDAEB0D" w14:textId="77777777" w:rsidR="0076684F" w:rsidRPr="00343866" w:rsidRDefault="0076684F" w:rsidP="0076684F">
      <w:pPr>
        <w:jc w:val="center"/>
        <w:rPr>
          <w:rFonts w:cs="Arial"/>
          <w:sz w:val="22"/>
        </w:rPr>
      </w:pPr>
      <w:r w:rsidRPr="00343866">
        <w:rPr>
          <w:rFonts w:cs="Arial"/>
          <w:sz w:val="22"/>
        </w:rPr>
        <w:lastRenderedPageBreak/>
        <w:t>Sommaire</w:t>
      </w:r>
    </w:p>
    <w:p w14:paraId="787834C6" w14:textId="538BA1D0" w:rsidR="0076684F" w:rsidRDefault="0076684F" w:rsidP="0076684F">
      <w:pPr>
        <w:jc w:val="center"/>
        <w:rPr>
          <w:rFonts w:cs="Arial"/>
        </w:rPr>
      </w:pPr>
    </w:p>
    <w:p w14:paraId="44B1B552" w14:textId="266CF3FC" w:rsidR="0015431A" w:rsidRDefault="0076684F">
      <w:pPr>
        <w:pStyle w:val="TM1"/>
        <w:rPr>
          <w:rFonts w:asciiTheme="minorHAnsi" w:eastAsiaTheme="minorEastAsia" w:hAnsiTheme="minorHAnsi"/>
          <w:noProof/>
          <w:kern w:val="2"/>
          <w:sz w:val="24"/>
          <w:szCs w:val="24"/>
          <w:lang w:eastAsia="fr-FR"/>
          <w14:ligatures w14:val="standardContextual"/>
        </w:rPr>
      </w:pPr>
      <w:r w:rsidRPr="00AB3B09">
        <w:fldChar w:fldCharType="begin"/>
      </w:r>
      <w:r w:rsidRPr="00AB3B09">
        <w:instrText xml:space="preserve"> TOC \o "1-3" \h \z \t "Article;1;Sous-article;2;Sous sous article;3" </w:instrText>
      </w:r>
      <w:r w:rsidRPr="00AB3B09">
        <w:fldChar w:fldCharType="separate"/>
      </w:r>
      <w:hyperlink w:anchor="_Toc206768578" w:history="1">
        <w:r w:rsidR="0015431A" w:rsidRPr="002838F0">
          <w:rPr>
            <w:rStyle w:val="Lienhypertexte"/>
            <w:noProof/>
          </w:rPr>
          <w:t>Article 1 : Objet du marché - Dispositions générales</w:t>
        </w:r>
        <w:r w:rsidR="0015431A">
          <w:rPr>
            <w:noProof/>
            <w:webHidden/>
          </w:rPr>
          <w:tab/>
        </w:r>
        <w:r w:rsidR="0015431A">
          <w:rPr>
            <w:noProof/>
            <w:webHidden/>
          </w:rPr>
          <w:fldChar w:fldCharType="begin"/>
        </w:r>
        <w:r w:rsidR="0015431A">
          <w:rPr>
            <w:noProof/>
            <w:webHidden/>
          </w:rPr>
          <w:instrText xml:space="preserve"> PAGEREF _Toc206768578 \h </w:instrText>
        </w:r>
        <w:r w:rsidR="0015431A">
          <w:rPr>
            <w:noProof/>
            <w:webHidden/>
          </w:rPr>
        </w:r>
        <w:r w:rsidR="0015431A">
          <w:rPr>
            <w:noProof/>
            <w:webHidden/>
          </w:rPr>
          <w:fldChar w:fldCharType="separate"/>
        </w:r>
        <w:r w:rsidR="0015431A">
          <w:rPr>
            <w:noProof/>
            <w:webHidden/>
          </w:rPr>
          <w:t>4</w:t>
        </w:r>
        <w:r w:rsidR="0015431A">
          <w:rPr>
            <w:noProof/>
            <w:webHidden/>
          </w:rPr>
          <w:fldChar w:fldCharType="end"/>
        </w:r>
      </w:hyperlink>
    </w:p>
    <w:p w14:paraId="7085DDE2" w14:textId="67B2FC27" w:rsidR="0015431A" w:rsidRDefault="0015431A">
      <w:pPr>
        <w:pStyle w:val="TM2"/>
        <w:rPr>
          <w:rFonts w:asciiTheme="minorHAnsi" w:eastAsiaTheme="minorEastAsia" w:hAnsiTheme="minorHAnsi"/>
          <w:kern w:val="2"/>
          <w:sz w:val="24"/>
          <w:szCs w:val="24"/>
          <w:lang w:eastAsia="fr-FR"/>
          <w14:ligatures w14:val="standardContextual"/>
        </w:rPr>
      </w:pPr>
      <w:hyperlink w:anchor="_Toc206768579" w:history="1">
        <w:r w:rsidRPr="002838F0">
          <w:rPr>
            <w:rStyle w:val="Lienhypertexte"/>
            <w14:scene3d>
              <w14:camera w14:prst="orthographicFront"/>
              <w14:lightRig w14:rig="threePt" w14:dir="t">
                <w14:rot w14:lat="0" w14:lon="0" w14:rev="0"/>
              </w14:lightRig>
            </w14:scene3d>
          </w:rPr>
          <w:t>1.1</w:t>
        </w:r>
        <w:r w:rsidRPr="002838F0">
          <w:rPr>
            <w:rStyle w:val="Lienhypertexte"/>
          </w:rPr>
          <w:t xml:space="preserve"> Objet du marché</w:t>
        </w:r>
        <w:r>
          <w:rPr>
            <w:webHidden/>
          </w:rPr>
          <w:tab/>
        </w:r>
        <w:r>
          <w:rPr>
            <w:webHidden/>
          </w:rPr>
          <w:fldChar w:fldCharType="begin"/>
        </w:r>
        <w:r>
          <w:rPr>
            <w:webHidden/>
          </w:rPr>
          <w:instrText xml:space="preserve"> PAGEREF _Toc206768579 \h </w:instrText>
        </w:r>
        <w:r>
          <w:rPr>
            <w:webHidden/>
          </w:rPr>
        </w:r>
        <w:r>
          <w:rPr>
            <w:webHidden/>
          </w:rPr>
          <w:fldChar w:fldCharType="separate"/>
        </w:r>
        <w:r>
          <w:rPr>
            <w:webHidden/>
          </w:rPr>
          <w:t>4</w:t>
        </w:r>
        <w:r>
          <w:rPr>
            <w:webHidden/>
          </w:rPr>
          <w:fldChar w:fldCharType="end"/>
        </w:r>
      </w:hyperlink>
    </w:p>
    <w:p w14:paraId="5A9E11CC" w14:textId="4D3EC8B9" w:rsidR="0015431A" w:rsidRDefault="0015431A">
      <w:pPr>
        <w:pStyle w:val="TM2"/>
        <w:rPr>
          <w:rFonts w:asciiTheme="minorHAnsi" w:eastAsiaTheme="minorEastAsia" w:hAnsiTheme="minorHAnsi"/>
          <w:kern w:val="2"/>
          <w:sz w:val="24"/>
          <w:szCs w:val="24"/>
          <w:lang w:eastAsia="fr-FR"/>
          <w14:ligatures w14:val="standardContextual"/>
        </w:rPr>
      </w:pPr>
      <w:hyperlink w:anchor="_Toc206768580" w:history="1">
        <w:r w:rsidRPr="002838F0">
          <w:rPr>
            <w:rStyle w:val="Lienhypertexte"/>
            <w14:scene3d>
              <w14:camera w14:prst="orthographicFront"/>
              <w14:lightRig w14:rig="threePt" w14:dir="t">
                <w14:rot w14:lat="0" w14:lon="0" w14:rev="0"/>
              </w14:lightRig>
            </w14:scene3d>
          </w:rPr>
          <w:t>1.2</w:t>
        </w:r>
        <w:r w:rsidRPr="002838F0">
          <w:rPr>
            <w:rStyle w:val="Lienhypertexte"/>
          </w:rPr>
          <w:t xml:space="preserve"> Forme et structure du marché</w:t>
        </w:r>
        <w:r>
          <w:rPr>
            <w:webHidden/>
          </w:rPr>
          <w:tab/>
        </w:r>
        <w:r>
          <w:rPr>
            <w:webHidden/>
          </w:rPr>
          <w:fldChar w:fldCharType="begin"/>
        </w:r>
        <w:r>
          <w:rPr>
            <w:webHidden/>
          </w:rPr>
          <w:instrText xml:space="preserve"> PAGEREF _Toc206768580 \h </w:instrText>
        </w:r>
        <w:r>
          <w:rPr>
            <w:webHidden/>
          </w:rPr>
        </w:r>
        <w:r>
          <w:rPr>
            <w:webHidden/>
          </w:rPr>
          <w:fldChar w:fldCharType="separate"/>
        </w:r>
        <w:r>
          <w:rPr>
            <w:webHidden/>
          </w:rPr>
          <w:t>4</w:t>
        </w:r>
        <w:r>
          <w:rPr>
            <w:webHidden/>
          </w:rPr>
          <w:fldChar w:fldCharType="end"/>
        </w:r>
      </w:hyperlink>
    </w:p>
    <w:p w14:paraId="7D1DB21F" w14:textId="36910D08" w:rsidR="0015431A" w:rsidRDefault="0015431A">
      <w:pPr>
        <w:pStyle w:val="TM3"/>
        <w:rPr>
          <w:rFonts w:asciiTheme="minorHAnsi" w:eastAsiaTheme="minorEastAsia" w:hAnsiTheme="minorHAnsi"/>
          <w:kern w:val="2"/>
          <w:sz w:val="24"/>
          <w:szCs w:val="24"/>
          <w:lang w:eastAsia="fr-FR"/>
          <w14:ligatures w14:val="standardContextual"/>
        </w:rPr>
      </w:pPr>
      <w:hyperlink w:anchor="_Toc206768581" w:history="1">
        <w:r w:rsidRPr="002838F0">
          <w:rPr>
            <w:rStyle w:val="Lienhypertexte"/>
          </w:rPr>
          <w:t>1.2.1 Forme du marché</w:t>
        </w:r>
        <w:r>
          <w:rPr>
            <w:webHidden/>
          </w:rPr>
          <w:tab/>
        </w:r>
        <w:r>
          <w:rPr>
            <w:webHidden/>
          </w:rPr>
          <w:fldChar w:fldCharType="begin"/>
        </w:r>
        <w:r>
          <w:rPr>
            <w:webHidden/>
          </w:rPr>
          <w:instrText xml:space="preserve"> PAGEREF _Toc206768581 \h </w:instrText>
        </w:r>
        <w:r>
          <w:rPr>
            <w:webHidden/>
          </w:rPr>
        </w:r>
        <w:r>
          <w:rPr>
            <w:webHidden/>
          </w:rPr>
          <w:fldChar w:fldCharType="separate"/>
        </w:r>
        <w:r>
          <w:rPr>
            <w:webHidden/>
          </w:rPr>
          <w:t>4</w:t>
        </w:r>
        <w:r>
          <w:rPr>
            <w:webHidden/>
          </w:rPr>
          <w:fldChar w:fldCharType="end"/>
        </w:r>
      </w:hyperlink>
    </w:p>
    <w:p w14:paraId="7747487E" w14:textId="267C8294" w:rsidR="0015431A" w:rsidRDefault="0015431A">
      <w:pPr>
        <w:pStyle w:val="TM3"/>
        <w:rPr>
          <w:rFonts w:asciiTheme="minorHAnsi" w:eastAsiaTheme="minorEastAsia" w:hAnsiTheme="minorHAnsi"/>
          <w:kern w:val="2"/>
          <w:sz w:val="24"/>
          <w:szCs w:val="24"/>
          <w:lang w:eastAsia="fr-FR"/>
          <w14:ligatures w14:val="standardContextual"/>
        </w:rPr>
      </w:pPr>
      <w:hyperlink w:anchor="_Toc206768582" w:history="1">
        <w:r w:rsidRPr="002838F0">
          <w:rPr>
            <w:rStyle w:val="Lienhypertexte"/>
          </w:rPr>
          <w:t>1.2.2 Répartition par lots</w:t>
        </w:r>
        <w:r>
          <w:rPr>
            <w:webHidden/>
          </w:rPr>
          <w:tab/>
        </w:r>
        <w:r>
          <w:rPr>
            <w:webHidden/>
          </w:rPr>
          <w:fldChar w:fldCharType="begin"/>
        </w:r>
        <w:r>
          <w:rPr>
            <w:webHidden/>
          </w:rPr>
          <w:instrText xml:space="preserve"> PAGEREF _Toc206768582 \h </w:instrText>
        </w:r>
        <w:r>
          <w:rPr>
            <w:webHidden/>
          </w:rPr>
        </w:r>
        <w:r>
          <w:rPr>
            <w:webHidden/>
          </w:rPr>
          <w:fldChar w:fldCharType="separate"/>
        </w:r>
        <w:r>
          <w:rPr>
            <w:webHidden/>
          </w:rPr>
          <w:t>4</w:t>
        </w:r>
        <w:r>
          <w:rPr>
            <w:webHidden/>
          </w:rPr>
          <w:fldChar w:fldCharType="end"/>
        </w:r>
      </w:hyperlink>
    </w:p>
    <w:p w14:paraId="04B50615" w14:textId="4850CF43" w:rsidR="0015431A" w:rsidRDefault="0015431A">
      <w:pPr>
        <w:pStyle w:val="TM2"/>
        <w:rPr>
          <w:rFonts w:asciiTheme="minorHAnsi" w:eastAsiaTheme="minorEastAsia" w:hAnsiTheme="minorHAnsi"/>
          <w:kern w:val="2"/>
          <w:sz w:val="24"/>
          <w:szCs w:val="24"/>
          <w:lang w:eastAsia="fr-FR"/>
          <w14:ligatures w14:val="standardContextual"/>
        </w:rPr>
      </w:pPr>
      <w:hyperlink w:anchor="_Toc206768583" w:history="1">
        <w:r w:rsidRPr="002838F0">
          <w:rPr>
            <w:rStyle w:val="Lienhypertexte"/>
            <w14:scene3d>
              <w14:camera w14:prst="orthographicFront"/>
              <w14:lightRig w14:rig="threePt" w14:dir="t">
                <w14:rot w14:lat="0" w14:lon="0" w14:rev="0"/>
              </w14:lightRig>
            </w14:scene3d>
          </w:rPr>
          <w:t>1.3</w:t>
        </w:r>
        <w:r w:rsidRPr="002838F0">
          <w:rPr>
            <w:rStyle w:val="Lienhypertexte"/>
          </w:rPr>
          <w:t xml:space="preserve"> Marché de prestations similaires</w:t>
        </w:r>
        <w:r>
          <w:rPr>
            <w:webHidden/>
          </w:rPr>
          <w:tab/>
        </w:r>
        <w:r>
          <w:rPr>
            <w:webHidden/>
          </w:rPr>
          <w:fldChar w:fldCharType="begin"/>
        </w:r>
        <w:r>
          <w:rPr>
            <w:webHidden/>
          </w:rPr>
          <w:instrText xml:space="preserve"> PAGEREF _Toc206768583 \h </w:instrText>
        </w:r>
        <w:r>
          <w:rPr>
            <w:webHidden/>
          </w:rPr>
        </w:r>
        <w:r>
          <w:rPr>
            <w:webHidden/>
          </w:rPr>
          <w:fldChar w:fldCharType="separate"/>
        </w:r>
        <w:r>
          <w:rPr>
            <w:webHidden/>
          </w:rPr>
          <w:t>4</w:t>
        </w:r>
        <w:r>
          <w:rPr>
            <w:webHidden/>
          </w:rPr>
          <w:fldChar w:fldCharType="end"/>
        </w:r>
      </w:hyperlink>
    </w:p>
    <w:p w14:paraId="2FB7144B" w14:textId="3845DF9C" w:rsidR="0015431A" w:rsidRDefault="0015431A">
      <w:pPr>
        <w:pStyle w:val="TM2"/>
        <w:rPr>
          <w:rFonts w:asciiTheme="minorHAnsi" w:eastAsiaTheme="minorEastAsia" w:hAnsiTheme="minorHAnsi"/>
          <w:kern w:val="2"/>
          <w:sz w:val="24"/>
          <w:szCs w:val="24"/>
          <w:lang w:eastAsia="fr-FR"/>
          <w14:ligatures w14:val="standardContextual"/>
        </w:rPr>
      </w:pPr>
      <w:hyperlink w:anchor="_Toc206768584" w:history="1">
        <w:r w:rsidRPr="002838F0">
          <w:rPr>
            <w:rStyle w:val="Lienhypertexte"/>
            <w14:scene3d>
              <w14:camera w14:prst="orthographicFront"/>
              <w14:lightRig w14:rig="threePt" w14:dir="t">
                <w14:rot w14:lat="0" w14:lon="0" w14:rev="0"/>
              </w14:lightRig>
            </w14:scene3d>
          </w:rPr>
          <w:t>1.4</w:t>
        </w:r>
        <w:r w:rsidRPr="002838F0">
          <w:rPr>
            <w:rStyle w:val="Lienhypertexte"/>
          </w:rPr>
          <w:t xml:space="preserve"> Durée du marché</w:t>
        </w:r>
        <w:r>
          <w:rPr>
            <w:webHidden/>
          </w:rPr>
          <w:tab/>
        </w:r>
        <w:r>
          <w:rPr>
            <w:webHidden/>
          </w:rPr>
          <w:fldChar w:fldCharType="begin"/>
        </w:r>
        <w:r>
          <w:rPr>
            <w:webHidden/>
          </w:rPr>
          <w:instrText xml:space="preserve"> PAGEREF _Toc206768584 \h </w:instrText>
        </w:r>
        <w:r>
          <w:rPr>
            <w:webHidden/>
          </w:rPr>
        </w:r>
        <w:r>
          <w:rPr>
            <w:webHidden/>
          </w:rPr>
          <w:fldChar w:fldCharType="separate"/>
        </w:r>
        <w:r>
          <w:rPr>
            <w:webHidden/>
          </w:rPr>
          <w:t>4</w:t>
        </w:r>
        <w:r>
          <w:rPr>
            <w:webHidden/>
          </w:rPr>
          <w:fldChar w:fldCharType="end"/>
        </w:r>
      </w:hyperlink>
    </w:p>
    <w:p w14:paraId="1D9251B9" w14:textId="7C452931" w:rsidR="0015431A" w:rsidRDefault="0015431A">
      <w:pPr>
        <w:pStyle w:val="TM2"/>
        <w:rPr>
          <w:rFonts w:asciiTheme="minorHAnsi" w:eastAsiaTheme="minorEastAsia" w:hAnsiTheme="minorHAnsi"/>
          <w:kern w:val="2"/>
          <w:sz w:val="24"/>
          <w:szCs w:val="24"/>
          <w:lang w:eastAsia="fr-FR"/>
          <w14:ligatures w14:val="standardContextual"/>
        </w:rPr>
      </w:pPr>
      <w:hyperlink w:anchor="_Toc206768585" w:history="1">
        <w:r w:rsidRPr="002838F0">
          <w:rPr>
            <w:rStyle w:val="Lienhypertexte"/>
            <w14:scene3d>
              <w14:camera w14:prst="orthographicFront"/>
              <w14:lightRig w14:rig="threePt" w14:dir="t">
                <w14:rot w14:lat="0" w14:lon="0" w14:rev="0"/>
              </w14:lightRig>
            </w14:scene3d>
          </w:rPr>
          <w:t>1.5</w:t>
        </w:r>
        <w:r w:rsidRPr="002838F0">
          <w:rPr>
            <w:rStyle w:val="Lienhypertexte"/>
          </w:rPr>
          <w:t xml:space="preserve"> Lieu d’exécution</w:t>
        </w:r>
        <w:r>
          <w:rPr>
            <w:webHidden/>
          </w:rPr>
          <w:tab/>
        </w:r>
        <w:r>
          <w:rPr>
            <w:webHidden/>
          </w:rPr>
          <w:fldChar w:fldCharType="begin"/>
        </w:r>
        <w:r>
          <w:rPr>
            <w:webHidden/>
          </w:rPr>
          <w:instrText xml:space="preserve"> PAGEREF _Toc206768585 \h </w:instrText>
        </w:r>
        <w:r>
          <w:rPr>
            <w:webHidden/>
          </w:rPr>
        </w:r>
        <w:r>
          <w:rPr>
            <w:webHidden/>
          </w:rPr>
          <w:fldChar w:fldCharType="separate"/>
        </w:r>
        <w:r>
          <w:rPr>
            <w:webHidden/>
          </w:rPr>
          <w:t>4</w:t>
        </w:r>
        <w:r>
          <w:rPr>
            <w:webHidden/>
          </w:rPr>
          <w:fldChar w:fldCharType="end"/>
        </w:r>
      </w:hyperlink>
    </w:p>
    <w:p w14:paraId="1155DCD5" w14:textId="2D8C32B3" w:rsidR="0015431A" w:rsidRDefault="0015431A">
      <w:pPr>
        <w:pStyle w:val="TM2"/>
        <w:rPr>
          <w:rFonts w:asciiTheme="minorHAnsi" w:eastAsiaTheme="minorEastAsia" w:hAnsiTheme="minorHAnsi"/>
          <w:kern w:val="2"/>
          <w:sz w:val="24"/>
          <w:szCs w:val="24"/>
          <w:lang w:eastAsia="fr-FR"/>
          <w14:ligatures w14:val="standardContextual"/>
        </w:rPr>
      </w:pPr>
      <w:hyperlink w:anchor="_Toc206768586" w:history="1">
        <w:r w:rsidRPr="002838F0">
          <w:rPr>
            <w:rStyle w:val="Lienhypertexte"/>
            <w14:scene3d>
              <w14:camera w14:prst="orthographicFront"/>
              <w14:lightRig w14:rig="threePt" w14:dir="t">
                <w14:rot w14:lat="0" w14:lon="0" w14:rev="0"/>
              </w14:lightRig>
            </w14:scene3d>
          </w:rPr>
          <w:t>1.6</w:t>
        </w:r>
        <w:r w:rsidRPr="002838F0">
          <w:rPr>
            <w:rStyle w:val="Lienhypertexte"/>
          </w:rPr>
          <w:t xml:space="preserve"> Sous-traitance</w:t>
        </w:r>
        <w:r>
          <w:rPr>
            <w:webHidden/>
          </w:rPr>
          <w:tab/>
        </w:r>
        <w:r>
          <w:rPr>
            <w:webHidden/>
          </w:rPr>
          <w:fldChar w:fldCharType="begin"/>
        </w:r>
        <w:r>
          <w:rPr>
            <w:webHidden/>
          </w:rPr>
          <w:instrText xml:space="preserve"> PAGEREF _Toc206768586 \h </w:instrText>
        </w:r>
        <w:r>
          <w:rPr>
            <w:webHidden/>
          </w:rPr>
        </w:r>
        <w:r>
          <w:rPr>
            <w:webHidden/>
          </w:rPr>
          <w:fldChar w:fldCharType="separate"/>
        </w:r>
        <w:r>
          <w:rPr>
            <w:webHidden/>
          </w:rPr>
          <w:t>5</w:t>
        </w:r>
        <w:r>
          <w:rPr>
            <w:webHidden/>
          </w:rPr>
          <w:fldChar w:fldCharType="end"/>
        </w:r>
      </w:hyperlink>
    </w:p>
    <w:p w14:paraId="26059AD1" w14:textId="6CD802EF" w:rsidR="0015431A" w:rsidRDefault="0015431A">
      <w:pPr>
        <w:pStyle w:val="TM2"/>
        <w:rPr>
          <w:rFonts w:asciiTheme="minorHAnsi" w:eastAsiaTheme="minorEastAsia" w:hAnsiTheme="minorHAnsi"/>
          <w:kern w:val="2"/>
          <w:sz w:val="24"/>
          <w:szCs w:val="24"/>
          <w:lang w:eastAsia="fr-FR"/>
          <w14:ligatures w14:val="standardContextual"/>
        </w:rPr>
      </w:pPr>
      <w:hyperlink w:anchor="_Toc206768587" w:history="1">
        <w:r w:rsidRPr="002838F0">
          <w:rPr>
            <w:rStyle w:val="Lienhypertexte"/>
            <w14:scene3d>
              <w14:camera w14:prst="orthographicFront"/>
              <w14:lightRig w14:rig="threePt" w14:dir="t">
                <w14:rot w14:lat="0" w14:lon="0" w14:rev="0"/>
              </w14:lightRig>
            </w14:scene3d>
          </w:rPr>
          <w:t>1.7</w:t>
        </w:r>
        <w:r w:rsidRPr="002838F0">
          <w:rPr>
            <w:rStyle w:val="Lienhypertexte"/>
          </w:rPr>
          <w:t xml:space="preserve"> Langue</w:t>
        </w:r>
        <w:r>
          <w:rPr>
            <w:webHidden/>
          </w:rPr>
          <w:tab/>
        </w:r>
        <w:r>
          <w:rPr>
            <w:webHidden/>
          </w:rPr>
          <w:fldChar w:fldCharType="begin"/>
        </w:r>
        <w:r>
          <w:rPr>
            <w:webHidden/>
          </w:rPr>
          <w:instrText xml:space="preserve"> PAGEREF _Toc206768587 \h </w:instrText>
        </w:r>
        <w:r>
          <w:rPr>
            <w:webHidden/>
          </w:rPr>
        </w:r>
        <w:r>
          <w:rPr>
            <w:webHidden/>
          </w:rPr>
          <w:fldChar w:fldCharType="separate"/>
        </w:r>
        <w:r>
          <w:rPr>
            <w:webHidden/>
          </w:rPr>
          <w:t>5</w:t>
        </w:r>
        <w:r>
          <w:rPr>
            <w:webHidden/>
          </w:rPr>
          <w:fldChar w:fldCharType="end"/>
        </w:r>
      </w:hyperlink>
    </w:p>
    <w:p w14:paraId="401109AF" w14:textId="22E156F9"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588" w:history="1">
        <w:r w:rsidRPr="002838F0">
          <w:rPr>
            <w:rStyle w:val="Lienhypertexte"/>
            <w:rFonts w:eastAsia="Arial"/>
            <w:noProof/>
          </w:rPr>
          <w:t>Article 2 : Intervenants</w:t>
        </w:r>
        <w:r>
          <w:rPr>
            <w:noProof/>
            <w:webHidden/>
          </w:rPr>
          <w:tab/>
        </w:r>
        <w:r>
          <w:rPr>
            <w:noProof/>
            <w:webHidden/>
          </w:rPr>
          <w:fldChar w:fldCharType="begin"/>
        </w:r>
        <w:r>
          <w:rPr>
            <w:noProof/>
            <w:webHidden/>
          </w:rPr>
          <w:instrText xml:space="preserve"> PAGEREF _Toc206768588 \h </w:instrText>
        </w:r>
        <w:r>
          <w:rPr>
            <w:noProof/>
            <w:webHidden/>
          </w:rPr>
        </w:r>
        <w:r>
          <w:rPr>
            <w:noProof/>
            <w:webHidden/>
          </w:rPr>
          <w:fldChar w:fldCharType="separate"/>
        </w:r>
        <w:r>
          <w:rPr>
            <w:noProof/>
            <w:webHidden/>
          </w:rPr>
          <w:t>5</w:t>
        </w:r>
        <w:r>
          <w:rPr>
            <w:noProof/>
            <w:webHidden/>
          </w:rPr>
          <w:fldChar w:fldCharType="end"/>
        </w:r>
      </w:hyperlink>
    </w:p>
    <w:p w14:paraId="68AD5C88" w14:textId="52AE1A31" w:rsidR="0015431A" w:rsidRDefault="0015431A">
      <w:pPr>
        <w:pStyle w:val="TM2"/>
        <w:rPr>
          <w:rFonts w:asciiTheme="minorHAnsi" w:eastAsiaTheme="minorEastAsia" w:hAnsiTheme="minorHAnsi"/>
          <w:kern w:val="2"/>
          <w:sz w:val="24"/>
          <w:szCs w:val="24"/>
          <w:lang w:eastAsia="fr-FR"/>
          <w14:ligatures w14:val="standardContextual"/>
        </w:rPr>
      </w:pPr>
      <w:hyperlink w:anchor="_Toc206768589" w:history="1">
        <w:r w:rsidRPr="002838F0">
          <w:rPr>
            <w:rStyle w:val="Lienhypertexte"/>
            <w14:scene3d>
              <w14:camera w14:prst="orthographicFront"/>
              <w14:lightRig w14:rig="threePt" w14:dir="t">
                <w14:rot w14:lat="0" w14:lon="0" w14:rev="0"/>
              </w14:lightRig>
            </w14:scene3d>
          </w:rPr>
          <w:t>2.1</w:t>
        </w:r>
        <w:r w:rsidRPr="002838F0">
          <w:rPr>
            <w:rStyle w:val="Lienhypertexte"/>
          </w:rPr>
          <w:t xml:space="preserve"> Maitre d’ouvrage</w:t>
        </w:r>
        <w:r>
          <w:rPr>
            <w:webHidden/>
          </w:rPr>
          <w:tab/>
        </w:r>
        <w:r>
          <w:rPr>
            <w:webHidden/>
          </w:rPr>
          <w:fldChar w:fldCharType="begin"/>
        </w:r>
        <w:r>
          <w:rPr>
            <w:webHidden/>
          </w:rPr>
          <w:instrText xml:space="preserve"> PAGEREF _Toc206768589 \h </w:instrText>
        </w:r>
        <w:r>
          <w:rPr>
            <w:webHidden/>
          </w:rPr>
        </w:r>
        <w:r>
          <w:rPr>
            <w:webHidden/>
          </w:rPr>
          <w:fldChar w:fldCharType="separate"/>
        </w:r>
        <w:r>
          <w:rPr>
            <w:webHidden/>
          </w:rPr>
          <w:t>5</w:t>
        </w:r>
        <w:r>
          <w:rPr>
            <w:webHidden/>
          </w:rPr>
          <w:fldChar w:fldCharType="end"/>
        </w:r>
      </w:hyperlink>
    </w:p>
    <w:p w14:paraId="5DC3C511" w14:textId="4E011595" w:rsidR="0015431A" w:rsidRDefault="0015431A">
      <w:pPr>
        <w:pStyle w:val="TM2"/>
        <w:rPr>
          <w:rFonts w:asciiTheme="minorHAnsi" w:eastAsiaTheme="minorEastAsia" w:hAnsiTheme="minorHAnsi"/>
          <w:kern w:val="2"/>
          <w:sz w:val="24"/>
          <w:szCs w:val="24"/>
          <w:lang w:eastAsia="fr-FR"/>
          <w14:ligatures w14:val="standardContextual"/>
        </w:rPr>
      </w:pPr>
      <w:hyperlink w:anchor="_Toc206768590" w:history="1">
        <w:r w:rsidRPr="002838F0">
          <w:rPr>
            <w:rStyle w:val="Lienhypertexte"/>
            <w14:scene3d>
              <w14:camera w14:prst="orthographicFront"/>
              <w14:lightRig w14:rig="threePt" w14:dir="t">
                <w14:rot w14:lat="0" w14:lon="0" w14:rev="0"/>
              </w14:lightRig>
            </w14:scene3d>
          </w:rPr>
          <w:t>2.2</w:t>
        </w:r>
        <w:r w:rsidRPr="002838F0">
          <w:rPr>
            <w:rStyle w:val="Lienhypertexte"/>
          </w:rPr>
          <w:t xml:space="preserve"> Maitrise d’œuvre</w:t>
        </w:r>
        <w:r>
          <w:rPr>
            <w:webHidden/>
          </w:rPr>
          <w:tab/>
        </w:r>
        <w:r>
          <w:rPr>
            <w:webHidden/>
          </w:rPr>
          <w:fldChar w:fldCharType="begin"/>
        </w:r>
        <w:r>
          <w:rPr>
            <w:webHidden/>
          </w:rPr>
          <w:instrText xml:space="preserve"> PAGEREF _Toc206768590 \h </w:instrText>
        </w:r>
        <w:r>
          <w:rPr>
            <w:webHidden/>
          </w:rPr>
        </w:r>
        <w:r>
          <w:rPr>
            <w:webHidden/>
          </w:rPr>
          <w:fldChar w:fldCharType="separate"/>
        </w:r>
        <w:r>
          <w:rPr>
            <w:webHidden/>
          </w:rPr>
          <w:t>6</w:t>
        </w:r>
        <w:r>
          <w:rPr>
            <w:webHidden/>
          </w:rPr>
          <w:fldChar w:fldCharType="end"/>
        </w:r>
      </w:hyperlink>
    </w:p>
    <w:p w14:paraId="3A6BFA16" w14:textId="65441A4D"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591" w:history="1">
        <w:r w:rsidRPr="002838F0">
          <w:rPr>
            <w:rStyle w:val="Lienhypertexte"/>
            <w:noProof/>
          </w:rPr>
          <w:t>Article 3 : Pièces constitutives du marché</w:t>
        </w:r>
        <w:r>
          <w:rPr>
            <w:noProof/>
            <w:webHidden/>
          </w:rPr>
          <w:tab/>
        </w:r>
        <w:r>
          <w:rPr>
            <w:noProof/>
            <w:webHidden/>
          </w:rPr>
          <w:fldChar w:fldCharType="begin"/>
        </w:r>
        <w:r>
          <w:rPr>
            <w:noProof/>
            <w:webHidden/>
          </w:rPr>
          <w:instrText xml:space="preserve"> PAGEREF _Toc206768591 \h </w:instrText>
        </w:r>
        <w:r>
          <w:rPr>
            <w:noProof/>
            <w:webHidden/>
          </w:rPr>
        </w:r>
        <w:r>
          <w:rPr>
            <w:noProof/>
            <w:webHidden/>
          </w:rPr>
          <w:fldChar w:fldCharType="separate"/>
        </w:r>
        <w:r>
          <w:rPr>
            <w:noProof/>
            <w:webHidden/>
          </w:rPr>
          <w:t>6</w:t>
        </w:r>
        <w:r>
          <w:rPr>
            <w:noProof/>
            <w:webHidden/>
          </w:rPr>
          <w:fldChar w:fldCharType="end"/>
        </w:r>
      </w:hyperlink>
    </w:p>
    <w:p w14:paraId="5B6600D2" w14:textId="41D75910"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592" w:history="1">
        <w:r w:rsidRPr="002838F0">
          <w:rPr>
            <w:rStyle w:val="Lienhypertexte"/>
            <w:noProof/>
          </w:rPr>
          <w:t>Article 4 : Conditions d’exécution des prestations</w:t>
        </w:r>
        <w:r>
          <w:rPr>
            <w:noProof/>
            <w:webHidden/>
          </w:rPr>
          <w:tab/>
        </w:r>
        <w:r>
          <w:rPr>
            <w:noProof/>
            <w:webHidden/>
          </w:rPr>
          <w:fldChar w:fldCharType="begin"/>
        </w:r>
        <w:r>
          <w:rPr>
            <w:noProof/>
            <w:webHidden/>
          </w:rPr>
          <w:instrText xml:space="preserve"> PAGEREF _Toc206768592 \h </w:instrText>
        </w:r>
        <w:r>
          <w:rPr>
            <w:noProof/>
            <w:webHidden/>
          </w:rPr>
        </w:r>
        <w:r>
          <w:rPr>
            <w:noProof/>
            <w:webHidden/>
          </w:rPr>
          <w:fldChar w:fldCharType="separate"/>
        </w:r>
        <w:r>
          <w:rPr>
            <w:noProof/>
            <w:webHidden/>
          </w:rPr>
          <w:t>7</w:t>
        </w:r>
        <w:r>
          <w:rPr>
            <w:noProof/>
            <w:webHidden/>
          </w:rPr>
          <w:fldChar w:fldCharType="end"/>
        </w:r>
      </w:hyperlink>
    </w:p>
    <w:p w14:paraId="733A6887" w14:textId="470D7C3D" w:rsidR="0015431A" w:rsidRDefault="0015431A">
      <w:pPr>
        <w:pStyle w:val="TM2"/>
        <w:rPr>
          <w:rFonts w:asciiTheme="minorHAnsi" w:eastAsiaTheme="minorEastAsia" w:hAnsiTheme="minorHAnsi"/>
          <w:kern w:val="2"/>
          <w:sz w:val="24"/>
          <w:szCs w:val="24"/>
          <w:lang w:eastAsia="fr-FR"/>
          <w14:ligatures w14:val="standardContextual"/>
        </w:rPr>
      </w:pPr>
      <w:hyperlink w:anchor="_Toc206768593" w:history="1">
        <w:r w:rsidRPr="002838F0">
          <w:rPr>
            <w:rStyle w:val="Lienhypertexte"/>
            <w14:scene3d>
              <w14:camera w14:prst="orthographicFront"/>
              <w14:lightRig w14:rig="threePt" w14:dir="t">
                <w14:rot w14:lat="0" w14:lon="0" w14:rev="0"/>
              </w14:lightRig>
            </w14:scene3d>
          </w:rPr>
          <w:t>4.1</w:t>
        </w:r>
        <w:r w:rsidRPr="002838F0">
          <w:rPr>
            <w:rStyle w:val="Lienhypertexte"/>
          </w:rPr>
          <w:t xml:space="preserve"> Représentation des parties</w:t>
        </w:r>
        <w:r>
          <w:rPr>
            <w:webHidden/>
          </w:rPr>
          <w:tab/>
        </w:r>
        <w:r>
          <w:rPr>
            <w:webHidden/>
          </w:rPr>
          <w:fldChar w:fldCharType="begin"/>
        </w:r>
        <w:r>
          <w:rPr>
            <w:webHidden/>
          </w:rPr>
          <w:instrText xml:space="preserve"> PAGEREF _Toc206768593 \h </w:instrText>
        </w:r>
        <w:r>
          <w:rPr>
            <w:webHidden/>
          </w:rPr>
        </w:r>
        <w:r>
          <w:rPr>
            <w:webHidden/>
          </w:rPr>
          <w:fldChar w:fldCharType="separate"/>
        </w:r>
        <w:r>
          <w:rPr>
            <w:webHidden/>
          </w:rPr>
          <w:t>7</w:t>
        </w:r>
        <w:r>
          <w:rPr>
            <w:webHidden/>
          </w:rPr>
          <w:fldChar w:fldCharType="end"/>
        </w:r>
      </w:hyperlink>
    </w:p>
    <w:p w14:paraId="22C906FE" w14:textId="767643F7" w:rsidR="0015431A" w:rsidRDefault="0015431A">
      <w:pPr>
        <w:pStyle w:val="TM3"/>
        <w:rPr>
          <w:rFonts w:asciiTheme="minorHAnsi" w:eastAsiaTheme="minorEastAsia" w:hAnsiTheme="minorHAnsi"/>
          <w:kern w:val="2"/>
          <w:sz w:val="24"/>
          <w:szCs w:val="24"/>
          <w:lang w:eastAsia="fr-FR"/>
          <w14:ligatures w14:val="standardContextual"/>
        </w:rPr>
      </w:pPr>
      <w:hyperlink w:anchor="_Toc206768594" w:history="1">
        <w:r w:rsidRPr="002838F0">
          <w:rPr>
            <w:rStyle w:val="Lienhypertexte"/>
          </w:rPr>
          <w:t>4.1.1 Représentant du pouvoir adjudicateur</w:t>
        </w:r>
        <w:r>
          <w:rPr>
            <w:webHidden/>
          </w:rPr>
          <w:tab/>
        </w:r>
        <w:r>
          <w:rPr>
            <w:webHidden/>
          </w:rPr>
          <w:fldChar w:fldCharType="begin"/>
        </w:r>
        <w:r>
          <w:rPr>
            <w:webHidden/>
          </w:rPr>
          <w:instrText xml:space="preserve"> PAGEREF _Toc206768594 \h </w:instrText>
        </w:r>
        <w:r>
          <w:rPr>
            <w:webHidden/>
          </w:rPr>
        </w:r>
        <w:r>
          <w:rPr>
            <w:webHidden/>
          </w:rPr>
          <w:fldChar w:fldCharType="separate"/>
        </w:r>
        <w:r>
          <w:rPr>
            <w:webHidden/>
          </w:rPr>
          <w:t>7</w:t>
        </w:r>
        <w:r>
          <w:rPr>
            <w:webHidden/>
          </w:rPr>
          <w:fldChar w:fldCharType="end"/>
        </w:r>
      </w:hyperlink>
    </w:p>
    <w:p w14:paraId="151E132C" w14:textId="3561F421" w:rsidR="0015431A" w:rsidRDefault="0015431A">
      <w:pPr>
        <w:pStyle w:val="TM3"/>
        <w:rPr>
          <w:rFonts w:asciiTheme="minorHAnsi" w:eastAsiaTheme="minorEastAsia" w:hAnsiTheme="minorHAnsi"/>
          <w:kern w:val="2"/>
          <w:sz w:val="24"/>
          <w:szCs w:val="24"/>
          <w:lang w:eastAsia="fr-FR"/>
          <w14:ligatures w14:val="standardContextual"/>
        </w:rPr>
      </w:pPr>
      <w:hyperlink w:anchor="_Toc206768595" w:history="1">
        <w:r w:rsidRPr="002838F0">
          <w:rPr>
            <w:rStyle w:val="Lienhypertexte"/>
          </w:rPr>
          <w:t>4.1.2 Représentant du titulaire</w:t>
        </w:r>
        <w:r>
          <w:rPr>
            <w:webHidden/>
          </w:rPr>
          <w:tab/>
        </w:r>
        <w:r>
          <w:rPr>
            <w:webHidden/>
          </w:rPr>
          <w:fldChar w:fldCharType="begin"/>
        </w:r>
        <w:r>
          <w:rPr>
            <w:webHidden/>
          </w:rPr>
          <w:instrText xml:space="preserve"> PAGEREF _Toc206768595 \h </w:instrText>
        </w:r>
        <w:r>
          <w:rPr>
            <w:webHidden/>
          </w:rPr>
        </w:r>
        <w:r>
          <w:rPr>
            <w:webHidden/>
          </w:rPr>
          <w:fldChar w:fldCharType="separate"/>
        </w:r>
        <w:r>
          <w:rPr>
            <w:webHidden/>
          </w:rPr>
          <w:t>7</w:t>
        </w:r>
        <w:r>
          <w:rPr>
            <w:webHidden/>
          </w:rPr>
          <w:fldChar w:fldCharType="end"/>
        </w:r>
      </w:hyperlink>
    </w:p>
    <w:p w14:paraId="3DD22ABE" w14:textId="5842B2AF" w:rsidR="0015431A" w:rsidRDefault="0015431A">
      <w:pPr>
        <w:pStyle w:val="TM2"/>
        <w:rPr>
          <w:rFonts w:asciiTheme="minorHAnsi" w:eastAsiaTheme="minorEastAsia" w:hAnsiTheme="minorHAnsi"/>
          <w:kern w:val="2"/>
          <w:sz w:val="24"/>
          <w:szCs w:val="24"/>
          <w:lang w:eastAsia="fr-FR"/>
          <w14:ligatures w14:val="standardContextual"/>
        </w:rPr>
      </w:pPr>
      <w:hyperlink w:anchor="_Toc206768596" w:history="1">
        <w:r w:rsidRPr="002838F0">
          <w:rPr>
            <w:rStyle w:val="Lienhypertexte"/>
            <w14:scene3d>
              <w14:camera w14:prst="orthographicFront"/>
              <w14:lightRig w14:rig="threePt" w14:dir="t">
                <w14:rot w14:lat="0" w14:lon="0" w14:rev="0"/>
              </w14:lightRig>
            </w14:scene3d>
          </w:rPr>
          <w:t>4.2</w:t>
        </w:r>
        <w:r w:rsidRPr="002838F0">
          <w:rPr>
            <w:rStyle w:val="Lienhypertexte"/>
          </w:rPr>
          <w:t xml:space="preserve"> Modalités d’intervention</w:t>
        </w:r>
        <w:r>
          <w:rPr>
            <w:webHidden/>
          </w:rPr>
          <w:tab/>
        </w:r>
        <w:r>
          <w:rPr>
            <w:webHidden/>
          </w:rPr>
          <w:fldChar w:fldCharType="begin"/>
        </w:r>
        <w:r>
          <w:rPr>
            <w:webHidden/>
          </w:rPr>
          <w:instrText xml:space="preserve"> PAGEREF _Toc206768596 \h </w:instrText>
        </w:r>
        <w:r>
          <w:rPr>
            <w:webHidden/>
          </w:rPr>
        </w:r>
        <w:r>
          <w:rPr>
            <w:webHidden/>
          </w:rPr>
          <w:fldChar w:fldCharType="separate"/>
        </w:r>
        <w:r>
          <w:rPr>
            <w:webHidden/>
          </w:rPr>
          <w:t>7</w:t>
        </w:r>
        <w:r>
          <w:rPr>
            <w:webHidden/>
          </w:rPr>
          <w:fldChar w:fldCharType="end"/>
        </w:r>
      </w:hyperlink>
    </w:p>
    <w:p w14:paraId="42BE97DC" w14:textId="1D24BA77" w:rsidR="0015431A" w:rsidRDefault="0015431A">
      <w:pPr>
        <w:pStyle w:val="TM3"/>
        <w:rPr>
          <w:rFonts w:asciiTheme="minorHAnsi" w:eastAsiaTheme="minorEastAsia" w:hAnsiTheme="minorHAnsi"/>
          <w:kern w:val="2"/>
          <w:sz w:val="24"/>
          <w:szCs w:val="24"/>
          <w:lang w:eastAsia="fr-FR"/>
          <w14:ligatures w14:val="standardContextual"/>
        </w:rPr>
      </w:pPr>
      <w:hyperlink w:anchor="_Toc206768597" w:history="1">
        <w:r w:rsidRPr="002838F0">
          <w:rPr>
            <w:rStyle w:val="Lienhypertexte"/>
          </w:rPr>
          <w:t>4.2.1 Inspection conjointe des lieux et analyse des risques préalables aux travaux</w:t>
        </w:r>
        <w:r>
          <w:rPr>
            <w:webHidden/>
          </w:rPr>
          <w:tab/>
        </w:r>
        <w:r>
          <w:rPr>
            <w:webHidden/>
          </w:rPr>
          <w:fldChar w:fldCharType="begin"/>
        </w:r>
        <w:r>
          <w:rPr>
            <w:webHidden/>
          </w:rPr>
          <w:instrText xml:space="preserve"> PAGEREF _Toc206768597 \h </w:instrText>
        </w:r>
        <w:r>
          <w:rPr>
            <w:webHidden/>
          </w:rPr>
        </w:r>
        <w:r>
          <w:rPr>
            <w:webHidden/>
          </w:rPr>
          <w:fldChar w:fldCharType="separate"/>
        </w:r>
        <w:r>
          <w:rPr>
            <w:webHidden/>
          </w:rPr>
          <w:t>7</w:t>
        </w:r>
        <w:r>
          <w:rPr>
            <w:webHidden/>
          </w:rPr>
          <w:fldChar w:fldCharType="end"/>
        </w:r>
      </w:hyperlink>
    </w:p>
    <w:p w14:paraId="24D4AEC9" w14:textId="46CD52EE" w:rsidR="0015431A" w:rsidRDefault="0015431A">
      <w:pPr>
        <w:pStyle w:val="TM3"/>
        <w:rPr>
          <w:rFonts w:asciiTheme="minorHAnsi" w:eastAsiaTheme="minorEastAsia" w:hAnsiTheme="minorHAnsi"/>
          <w:kern w:val="2"/>
          <w:sz w:val="24"/>
          <w:szCs w:val="24"/>
          <w:lang w:eastAsia="fr-FR"/>
          <w14:ligatures w14:val="standardContextual"/>
        </w:rPr>
      </w:pPr>
      <w:hyperlink w:anchor="_Toc206768598" w:history="1">
        <w:r w:rsidRPr="002838F0">
          <w:rPr>
            <w:rStyle w:val="Lienhypertexte"/>
          </w:rPr>
          <w:t>4.2.2 Réunions de prévention des risques et inspections</w:t>
        </w:r>
        <w:r>
          <w:rPr>
            <w:webHidden/>
          </w:rPr>
          <w:tab/>
        </w:r>
        <w:r>
          <w:rPr>
            <w:webHidden/>
          </w:rPr>
          <w:fldChar w:fldCharType="begin"/>
        </w:r>
        <w:r>
          <w:rPr>
            <w:webHidden/>
          </w:rPr>
          <w:instrText xml:space="preserve"> PAGEREF _Toc206768598 \h </w:instrText>
        </w:r>
        <w:r>
          <w:rPr>
            <w:webHidden/>
          </w:rPr>
        </w:r>
        <w:r>
          <w:rPr>
            <w:webHidden/>
          </w:rPr>
          <w:fldChar w:fldCharType="separate"/>
        </w:r>
        <w:r>
          <w:rPr>
            <w:webHidden/>
          </w:rPr>
          <w:t>7</w:t>
        </w:r>
        <w:r>
          <w:rPr>
            <w:webHidden/>
          </w:rPr>
          <w:fldChar w:fldCharType="end"/>
        </w:r>
      </w:hyperlink>
    </w:p>
    <w:p w14:paraId="0E422306" w14:textId="085DA52D" w:rsidR="0015431A" w:rsidRDefault="0015431A">
      <w:pPr>
        <w:pStyle w:val="TM3"/>
        <w:rPr>
          <w:rFonts w:asciiTheme="minorHAnsi" w:eastAsiaTheme="minorEastAsia" w:hAnsiTheme="minorHAnsi"/>
          <w:kern w:val="2"/>
          <w:sz w:val="24"/>
          <w:szCs w:val="24"/>
          <w:lang w:eastAsia="fr-FR"/>
          <w14:ligatures w14:val="standardContextual"/>
        </w:rPr>
      </w:pPr>
      <w:hyperlink w:anchor="_Toc206768599" w:history="1">
        <w:r w:rsidRPr="002838F0">
          <w:rPr>
            <w:rStyle w:val="Lienhypertexte"/>
          </w:rPr>
          <w:t>4.2.3 Réunions périodiques et de chantier</w:t>
        </w:r>
        <w:r>
          <w:rPr>
            <w:webHidden/>
          </w:rPr>
          <w:tab/>
        </w:r>
        <w:r>
          <w:rPr>
            <w:webHidden/>
          </w:rPr>
          <w:fldChar w:fldCharType="begin"/>
        </w:r>
        <w:r>
          <w:rPr>
            <w:webHidden/>
          </w:rPr>
          <w:instrText xml:space="preserve"> PAGEREF _Toc206768599 \h </w:instrText>
        </w:r>
        <w:r>
          <w:rPr>
            <w:webHidden/>
          </w:rPr>
        </w:r>
        <w:r>
          <w:rPr>
            <w:webHidden/>
          </w:rPr>
          <w:fldChar w:fldCharType="separate"/>
        </w:r>
        <w:r>
          <w:rPr>
            <w:webHidden/>
          </w:rPr>
          <w:t>8</w:t>
        </w:r>
        <w:r>
          <w:rPr>
            <w:webHidden/>
          </w:rPr>
          <w:fldChar w:fldCharType="end"/>
        </w:r>
      </w:hyperlink>
    </w:p>
    <w:p w14:paraId="1A465408" w14:textId="248D9C7D" w:rsidR="0015431A" w:rsidRDefault="0015431A">
      <w:pPr>
        <w:pStyle w:val="TM2"/>
        <w:rPr>
          <w:rFonts w:asciiTheme="minorHAnsi" w:eastAsiaTheme="minorEastAsia" w:hAnsiTheme="minorHAnsi"/>
          <w:kern w:val="2"/>
          <w:sz w:val="24"/>
          <w:szCs w:val="24"/>
          <w:lang w:eastAsia="fr-FR"/>
          <w14:ligatures w14:val="standardContextual"/>
        </w:rPr>
      </w:pPr>
      <w:hyperlink w:anchor="_Toc206768600" w:history="1">
        <w:r w:rsidRPr="002838F0">
          <w:rPr>
            <w:rStyle w:val="Lienhypertexte"/>
            <w14:scene3d>
              <w14:camera w14:prst="orthographicFront"/>
              <w14:lightRig w14:rig="threePt" w14:dir="t">
                <w14:rot w14:lat="0" w14:lon="0" w14:rev="0"/>
              </w14:lightRig>
            </w14:scene3d>
          </w:rPr>
          <w:t>4.3</w:t>
        </w:r>
        <w:r w:rsidRPr="002838F0">
          <w:rPr>
            <w:rStyle w:val="Lienhypertexte"/>
          </w:rPr>
          <w:t xml:space="preserve"> Caractéristiques des matériaux et produits</w:t>
        </w:r>
        <w:r>
          <w:rPr>
            <w:webHidden/>
          </w:rPr>
          <w:tab/>
        </w:r>
        <w:r>
          <w:rPr>
            <w:webHidden/>
          </w:rPr>
          <w:fldChar w:fldCharType="begin"/>
        </w:r>
        <w:r>
          <w:rPr>
            <w:webHidden/>
          </w:rPr>
          <w:instrText xml:space="preserve"> PAGEREF _Toc206768600 \h </w:instrText>
        </w:r>
        <w:r>
          <w:rPr>
            <w:webHidden/>
          </w:rPr>
        </w:r>
        <w:r>
          <w:rPr>
            <w:webHidden/>
          </w:rPr>
          <w:fldChar w:fldCharType="separate"/>
        </w:r>
        <w:r>
          <w:rPr>
            <w:webHidden/>
          </w:rPr>
          <w:t>8</w:t>
        </w:r>
        <w:r>
          <w:rPr>
            <w:webHidden/>
          </w:rPr>
          <w:fldChar w:fldCharType="end"/>
        </w:r>
      </w:hyperlink>
    </w:p>
    <w:p w14:paraId="171268E3" w14:textId="4620876B" w:rsidR="0015431A" w:rsidRDefault="0015431A">
      <w:pPr>
        <w:pStyle w:val="TM2"/>
        <w:rPr>
          <w:rFonts w:asciiTheme="minorHAnsi" w:eastAsiaTheme="minorEastAsia" w:hAnsiTheme="minorHAnsi"/>
          <w:kern w:val="2"/>
          <w:sz w:val="24"/>
          <w:szCs w:val="24"/>
          <w:lang w:eastAsia="fr-FR"/>
          <w14:ligatures w14:val="standardContextual"/>
        </w:rPr>
      </w:pPr>
      <w:hyperlink w:anchor="_Toc206768601" w:history="1">
        <w:r w:rsidRPr="002838F0">
          <w:rPr>
            <w:rStyle w:val="Lienhypertexte"/>
            <w14:scene3d>
              <w14:camera w14:prst="orthographicFront"/>
              <w14:lightRig w14:rig="threePt" w14:dir="t">
                <w14:rot w14:lat="0" w14:lon="0" w14:rev="0"/>
              </w14:lightRig>
            </w14:scene3d>
          </w:rPr>
          <w:t>4.4</w:t>
        </w:r>
        <w:r w:rsidRPr="002838F0">
          <w:rPr>
            <w:rStyle w:val="Lienhypertexte"/>
          </w:rPr>
          <w:t xml:space="preserve"> Préparation et coordination des travaux</w:t>
        </w:r>
        <w:r>
          <w:rPr>
            <w:webHidden/>
          </w:rPr>
          <w:tab/>
        </w:r>
        <w:r>
          <w:rPr>
            <w:webHidden/>
          </w:rPr>
          <w:fldChar w:fldCharType="begin"/>
        </w:r>
        <w:r>
          <w:rPr>
            <w:webHidden/>
          </w:rPr>
          <w:instrText xml:space="preserve"> PAGEREF _Toc206768601 \h </w:instrText>
        </w:r>
        <w:r>
          <w:rPr>
            <w:webHidden/>
          </w:rPr>
        </w:r>
        <w:r>
          <w:rPr>
            <w:webHidden/>
          </w:rPr>
          <w:fldChar w:fldCharType="separate"/>
        </w:r>
        <w:r>
          <w:rPr>
            <w:webHidden/>
          </w:rPr>
          <w:t>8</w:t>
        </w:r>
        <w:r>
          <w:rPr>
            <w:webHidden/>
          </w:rPr>
          <w:fldChar w:fldCharType="end"/>
        </w:r>
      </w:hyperlink>
    </w:p>
    <w:p w14:paraId="384E85DC" w14:textId="09505D56" w:rsidR="0015431A" w:rsidRDefault="0015431A">
      <w:pPr>
        <w:pStyle w:val="TM3"/>
        <w:rPr>
          <w:rFonts w:asciiTheme="minorHAnsi" w:eastAsiaTheme="minorEastAsia" w:hAnsiTheme="minorHAnsi"/>
          <w:kern w:val="2"/>
          <w:sz w:val="24"/>
          <w:szCs w:val="24"/>
          <w:lang w:eastAsia="fr-FR"/>
          <w14:ligatures w14:val="standardContextual"/>
        </w:rPr>
      </w:pPr>
      <w:hyperlink w:anchor="_Toc206768602" w:history="1">
        <w:r w:rsidRPr="002838F0">
          <w:rPr>
            <w:rStyle w:val="Lienhypertexte"/>
            <w:rFonts w:eastAsia="Arial" w:cs="Arial"/>
          </w:rPr>
          <w:t>4.4.1</w:t>
        </w:r>
        <w:r w:rsidRPr="002838F0">
          <w:rPr>
            <w:rStyle w:val="Lienhypertexte"/>
          </w:rPr>
          <w:t xml:space="preserve"> Période de préparation - Programme d’exécution des travaux</w:t>
        </w:r>
        <w:r>
          <w:rPr>
            <w:webHidden/>
          </w:rPr>
          <w:tab/>
        </w:r>
        <w:r>
          <w:rPr>
            <w:webHidden/>
          </w:rPr>
          <w:fldChar w:fldCharType="begin"/>
        </w:r>
        <w:r>
          <w:rPr>
            <w:webHidden/>
          </w:rPr>
          <w:instrText xml:space="preserve"> PAGEREF _Toc206768602 \h </w:instrText>
        </w:r>
        <w:r>
          <w:rPr>
            <w:webHidden/>
          </w:rPr>
        </w:r>
        <w:r>
          <w:rPr>
            <w:webHidden/>
          </w:rPr>
          <w:fldChar w:fldCharType="separate"/>
        </w:r>
        <w:r>
          <w:rPr>
            <w:webHidden/>
          </w:rPr>
          <w:t>8</w:t>
        </w:r>
        <w:r>
          <w:rPr>
            <w:webHidden/>
          </w:rPr>
          <w:fldChar w:fldCharType="end"/>
        </w:r>
      </w:hyperlink>
    </w:p>
    <w:p w14:paraId="37722802" w14:textId="49D2AC7C"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03" w:history="1">
        <w:r w:rsidRPr="002838F0">
          <w:rPr>
            <w:rStyle w:val="Lienhypertexte"/>
            <w:noProof/>
          </w:rPr>
          <w:t>Article 5 : Mesures particulières liées à la sécurité, la santé</w:t>
        </w:r>
        <w:r>
          <w:rPr>
            <w:noProof/>
            <w:webHidden/>
          </w:rPr>
          <w:tab/>
        </w:r>
        <w:r>
          <w:rPr>
            <w:noProof/>
            <w:webHidden/>
          </w:rPr>
          <w:fldChar w:fldCharType="begin"/>
        </w:r>
        <w:r>
          <w:rPr>
            <w:noProof/>
            <w:webHidden/>
          </w:rPr>
          <w:instrText xml:space="preserve"> PAGEREF _Toc206768603 \h </w:instrText>
        </w:r>
        <w:r>
          <w:rPr>
            <w:noProof/>
            <w:webHidden/>
          </w:rPr>
        </w:r>
        <w:r>
          <w:rPr>
            <w:noProof/>
            <w:webHidden/>
          </w:rPr>
          <w:fldChar w:fldCharType="separate"/>
        </w:r>
        <w:r>
          <w:rPr>
            <w:noProof/>
            <w:webHidden/>
          </w:rPr>
          <w:t>8</w:t>
        </w:r>
        <w:r>
          <w:rPr>
            <w:noProof/>
            <w:webHidden/>
          </w:rPr>
          <w:fldChar w:fldCharType="end"/>
        </w:r>
      </w:hyperlink>
    </w:p>
    <w:p w14:paraId="31759B76" w14:textId="766C3471" w:rsidR="0015431A" w:rsidRDefault="0015431A">
      <w:pPr>
        <w:pStyle w:val="TM2"/>
        <w:rPr>
          <w:rFonts w:asciiTheme="minorHAnsi" w:eastAsiaTheme="minorEastAsia" w:hAnsiTheme="minorHAnsi"/>
          <w:kern w:val="2"/>
          <w:sz w:val="24"/>
          <w:szCs w:val="24"/>
          <w:lang w:eastAsia="fr-FR"/>
          <w14:ligatures w14:val="standardContextual"/>
        </w:rPr>
      </w:pPr>
      <w:hyperlink w:anchor="_Toc206768604" w:history="1">
        <w:r w:rsidRPr="002838F0">
          <w:rPr>
            <w:rStyle w:val="Lienhypertexte"/>
            <w14:scene3d>
              <w14:camera w14:prst="orthographicFront"/>
              <w14:lightRig w14:rig="threePt" w14:dir="t">
                <w14:rot w14:lat="0" w14:lon="0" w14:rev="0"/>
              </w14:lightRig>
            </w14:scene3d>
          </w:rPr>
          <w:t>5.1</w:t>
        </w:r>
        <w:r w:rsidRPr="002838F0">
          <w:rPr>
            <w:rStyle w:val="Lienhypertexte"/>
          </w:rPr>
          <w:t xml:space="preserve"> Exécution des travaux</w:t>
        </w:r>
        <w:r>
          <w:rPr>
            <w:webHidden/>
          </w:rPr>
          <w:tab/>
        </w:r>
        <w:r>
          <w:rPr>
            <w:webHidden/>
          </w:rPr>
          <w:fldChar w:fldCharType="begin"/>
        </w:r>
        <w:r>
          <w:rPr>
            <w:webHidden/>
          </w:rPr>
          <w:instrText xml:space="preserve"> PAGEREF _Toc206768604 \h </w:instrText>
        </w:r>
        <w:r>
          <w:rPr>
            <w:webHidden/>
          </w:rPr>
        </w:r>
        <w:r>
          <w:rPr>
            <w:webHidden/>
          </w:rPr>
          <w:fldChar w:fldCharType="separate"/>
        </w:r>
        <w:r>
          <w:rPr>
            <w:webHidden/>
          </w:rPr>
          <w:t>8</w:t>
        </w:r>
        <w:r>
          <w:rPr>
            <w:webHidden/>
          </w:rPr>
          <w:fldChar w:fldCharType="end"/>
        </w:r>
      </w:hyperlink>
    </w:p>
    <w:p w14:paraId="07D9C354" w14:textId="0BFDA213" w:rsidR="0015431A" w:rsidRDefault="0015431A">
      <w:pPr>
        <w:pStyle w:val="TM3"/>
        <w:rPr>
          <w:rFonts w:asciiTheme="minorHAnsi" w:eastAsiaTheme="minorEastAsia" w:hAnsiTheme="minorHAnsi"/>
          <w:kern w:val="2"/>
          <w:sz w:val="24"/>
          <w:szCs w:val="24"/>
          <w:lang w:eastAsia="fr-FR"/>
          <w14:ligatures w14:val="standardContextual"/>
        </w:rPr>
      </w:pPr>
      <w:hyperlink w:anchor="_Toc206768605" w:history="1">
        <w:r w:rsidRPr="002838F0">
          <w:rPr>
            <w:rStyle w:val="Lienhypertexte"/>
          </w:rPr>
          <w:t>5.1.1 Normes applicables aux matériels décrites dans le CCTP</w:t>
        </w:r>
        <w:r>
          <w:rPr>
            <w:webHidden/>
          </w:rPr>
          <w:tab/>
        </w:r>
        <w:r>
          <w:rPr>
            <w:webHidden/>
          </w:rPr>
          <w:fldChar w:fldCharType="begin"/>
        </w:r>
        <w:r>
          <w:rPr>
            <w:webHidden/>
          </w:rPr>
          <w:instrText xml:space="preserve"> PAGEREF _Toc206768605 \h </w:instrText>
        </w:r>
        <w:r>
          <w:rPr>
            <w:webHidden/>
          </w:rPr>
        </w:r>
        <w:r>
          <w:rPr>
            <w:webHidden/>
          </w:rPr>
          <w:fldChar w:fldCharType="separate"/>
        </w:r>
        <w:r>
          <w:rPr>
            <w:webHidden/>
          </w:rPr>
          <w:t>8</w:t>
        </w:r>
        <w:r>
          <w:rPr>
            <w:webHidden/>
          </w:rPr>
          <w:fldChar w:fldCharType="end"/>
        </w:r>
      </w:hyperlink>
    </w:p>
    <w:p w14:paraId="48272F9A" w14:textId="4A07A93A" w:rsidR="0015431A" w:rsidRDefault="0015431A">
      <w:pPr>
        <w:pStyle w:val="TM3"/>
        <w:rPr>
          <w:rFonts w:asciiTheme="minorHAnsi" w:eastAsiaTheme="minorEastAsia" w:hAnsiTheme="minorHAnsi"/>
          <w:kern w:val="2"/>
          <w:sz w:val="24"/>
          <w:szCs w:val="24"/>
          <w:lang w:eastAsia="fr-FR"/>
          <w14:ligatures w14:val="standardContextual"/>
        </w:rPr>
      </w:pPr>
      <w:hyperlink w:anchor="_Toc206768606" w:history="1">
        <w:r w:rsidRPr="002838F0">
          <w:rPr>
            <w:rStyle w:val="Lienhypertexte"/>
          </w:rPr>
          <w:t>5.1.2 Registre de chantier</w:t>
        </w:r>
        <w:r>
          <w:rPr>
            <w:webHidden/>
          </w:rPr>
          <w:tab/>
        </w:r>
        <w:r>
          <w:rPr>
            <w:webHidden/>
          </w:rPr>
          <w:fldChar w:fldCharType="begin"/>
        </w:r>
        <w:r>
          <w:rPr>
            <w:webHidden/>
          </w:rPr>
          <w:instrText xml:space="preserve"> PAGEREF _Toc206768606 \h </w:instrText>
        </w:r>
        <w:r>
          <w:rPr>
            <w:webHidden/>
          </w:rPr>
        </w:r>
        <w:r>
          <w:rPr>
            <w:webHidden/>
          </w:rPr>
          <w:fldChar w:fldCharType="separate"/>
        </w:r>
        <w:r>
          <w:rPr>
            <w:webHidden/>
          </w:rPr>
          <w:t>9</w:t>
        </w:r>
        <w:r>
          <w:rPr>
            <w:webHidden/>
          </w:rPr>
          <w:fldChar w:fldCharType="end"/>
        </w:r>
      </w:hyperlink>
    </w:p>
    <w:p w14:paraId="225A08BB" w14:textId="0161C52D" w:rsidR="0015431A" w:rsidRDefault="0015431A">
      <w:pPr>
        <w:pStyle w:val="TM3"/>
        <w:rPr>
          <w:rFonts w:asciiTheme="minorHAnsi" w:eastAsiaTheme="minorEastAsia" w:hAnsiTheme="minorHAnsi"/>
          <w:kern w:val="2"/>
          <w:sz w:val="24"/>
          <w:szCs w:val="24"/>
          <w:lang w:eastAsia="fr-FR"/>
          <w14:ligatures w14:val="standardContextual"/>
        </w:rPr>
      </w:pPr>
      <w:hyperlink w:anchor="_Toc206768607" w:history="1">
        <w:r w:rsidRPr="002838F0">
          <w:rPr>
            <w:rStyle w:val="Lienhypertexte"/>
          </w:rPr>
          <w:t>5.1.3 Propreté du site</w:t>
        </w:r>
        <w:r>
          <w:rPr>
            <w:webHidden/>
          </w:rPr>
          <w:tab/>
        </w:r>
        <w:r>
          <w:rPr>
            <w:webHidden/>
          </w:rPr>
          <w:fldChar w:fldCharType="begin"/>
        </w:r>
        <w:r>
          <w:rPr>
            <w:webHidden/>
          </w:rPr>
          <w:instrText xml:space="preserve"> PAGEREF _Toc206768607 \h </w:instrText>
        </w:r>
        <w:r>
          <w:rPr>
            <w:webHidden/>
          </w:rPr>
        </w:r>
        <w:r>
          <w:rPr>
            <w:webHidden/>
          </w:rPr>
          <w:fldChar w:fldCharType="separate"/>
        </w:r>
        <w:r>
          <w:rPr>
            <w:webHidden/>
          </w:rPr>
          <w:t>9</w:t>
        </w:r>
        <w:r>
          <w:rPr>
            <w:webHidden/>
          </w:rPr>
          <w:fldChar w:fldCharType="end"/>
        </w:r>
      </w:hyperlink>
    </w:p>
    <w:p w14:paraId="730DA2FB" w14:textId="140900E3" w:rsidR="0015431A" w:rsidRDefault="0015431A">
      <w:pPr>
        <w:pStyle w:val="TM3"/>
        <w:rPr>
          <w:rFonts w:asciiTheme="minorHAnsi" w:eastAsiaTheme="minorEastAsia" w:hAnsiTheme="minorHAnsi"/>
          <w:kern w:val="2"/>
          <w:sz w:val="24"/>
          <w:szCs w:val="24"/>
          <w:lang w:eastAsia="fr-FR"/>
          <w14:ligatures w14:val="standardContextual"/>
        </w:rPr>
      </w:pPr>
      <w:hyperlink w:anchor="_Toc206768608" w:history="1">
        <w:r w:rsidRPr="002838F0">
          <w:rPr>
            <w:rStyle w:val="Lienhypertexte"/>
          </w:rPr>
          <w:t>5.1.4 Gestion des déchets</w:t>
        </w:r>
        <w:r>
          <w:rPr>
            <w:webHidden/>
          </w:rPr>
          <w:tab/>
        </w:r>
        <w:r>
          <w:rPr>
            <w:webHidden/>
          </w:rPr>
          <w:fldChar w:fldCharType="begin"/>
        </w:r>
        <w:r>
          <w:rPr>
            <w:webHidden/>
          </w:rPr>
          <w:instrText xml:space="preserve"> PAGEREF _Toc206768608 \h </w:instrText>
        </w:r>
        <w:r>
          <w:rPr>
            <w:webHidden/>
          </w:rPr>
        </w:r>
        <w:r>
          <w:rPr>
            <w:webHidden/>
          </w:rPr>
          <w:fldChar w:fldCharType="separate"/>
        </w:r>
        <w:r>
          <w:rPr>
            <w:webHidden/>
          </w:rPr>
          <w:t>9</w:t>
        </w:r>
        <w:r>
          <w:rPr>
            <w:webHidden/>
          </w:rPr>
          <w:fldChar w:fldCharType="end"/>
        </w:r>
      </w:hyperlink>
    </w:p>
    <w:p w14:paraId="6D326819" w14:textId="4CF53CAC" w:rsidR="0015431A" w:rsidRDefault="0015431A">
      <w:pPr>
        <w:pStyle w:val="TM2"/>
        <w:rPr>
          <w:rFonts w:asciiTheme="minorHAnsi" w:eastAsiaTheme="minorEastAsia" w:hAnsiTheme="minorHAnsi"/>
          <w:kern w:val="2"/>
          <w:sz w:val="24"/>
          <w:szCs w:val="24"/>
          <w:lang w:eastAsia="fr-FR"/>
          <w14:ligatures w14:val="standardContextual"/>
        </w:rPr>
      </w:pPr>
      <w:hyperlink w:anchor="_Toc206768609" w:history="1">
        <w:r w:rsidRPr="002838F0">
          <w:rPr>
            <w:rStyle w:val="Lienhypertexte"/>
            <w14:scene3d>
              <w14:camera w14:prst="orthographicFront"/>
              <w14:lightRig w14:rig="threePt" w14:dir="t">
                <w14:rot w14:lat="0" w14:lon="0" w14:rev="0"/>
              </w14:lightRig>
            </w14:scene3d>
          </w:rPr>
          <w:t>5.2</w:t>
        </w:r>
        <w:r w:rsidRPr="002838F0">
          <w:rPr>
            <w:rStyle w:val="Lienhypertexte"/>
          </w:rPr>
          <w:t xml:space="preserve"> Achèvement des travaux</w:t>
        </w:r>
        <w:r>
          <w:rPr>
            <w:webHidden/>
          </w:rPr>
          <w:tab/>
        </w:r>
        <w:r>
          <w:rPr>
            <w:webHidden/>
          </w:rPr>
          <w:fldChar w:fldCharType="begin"/>
        </w:r>
        <w:r>
          <w:rPr>
            <w:webHidden/>
          </w:rPr>
          <w:instrText xml:space="preserve"> PAGEREF _Toc206768609 \h </w:instrText>
        </w:r>
        <w:r>
          <w:rPr>
            <w:webHidden/>
          </w:rPr>
        </w:r>
        <w:r>
          <w:rPr>
            <w:webHidden/>
          </w:rPr>
          <w:fldChar w:fldCharType="separate"/>
        </w:r>
        <w:r>
          <w:rPr>
            <w:webHidden/>
          </w:rPr>
          <w:t>9</w:t>
        </w:r>
        <w:r>
          <w:rPr>
            <w:webHidden/>
          </w:rPr>
          <w:fldChar w:fldCharType="end"/>
        </w:r>
      </w:hyperlink>
    </w:p>
    <w:p w14:paraId="41D07D18" w14:textId="71662192" w:rsidR="0015431A" w:rsidRDefault="0015431A">
      <w:pPr>
        <w:pStyle w:val="TM3"/>
        <w:rPr>
          <w:rFonts w:asciiTheme="minorHAnsi" w:eastAsiaTheme="minorEastAsia" w:hAnsiTheme="minorHAnsi"/>
          <w:kern w:val="2"/>
          <w:sz w:val="24"/>
          <w:szCs w:val="24"/>
          <w:lang w:eastAsia="fr-FR"/>
          <w14:ligatures w14:val="standardContextual"/>
        </w:rPr>
      </w:pPr>
      <w:hyperlink w:anchor="_Toc206768610" w:history="1">
        <w:r w:rsidRPr="002838F0">
          <w:rPr>
            <w:rStyle w:val="Lienhypertexte"/>
            <w:rFonts w:eastAsia="Arial" w:cs="Arial"/>
          </w:rPr>
          <w:t>5.2.1</w:t>
        </w:r>
        <w:r w:rsidRPr="002838F0">
          <w:rPr>
            <w:rStyle w:val="Lienhypertexte"/>
          </w:rPr>
          <w:t xml:space="preserve"> Réception des travaux</w:t>
        </w:r>
        <w:r>
          <w:rPr>
            <w:webHidden/>
          </w:rPr>
          <w:tab/>
        </w:r>
        <w:r>
          <w:rPr>
            <w:webHidden/>
          </w:rPr>
          <w:fldChar w:fldCharType="begin"/>
        </w:r>
        <w:r>
          <w:rPr>
            <w:webHidden/>
          </w:rPr>
          <w:instrText xml:space="preserve"> PAGEREF _Toc206768610 \h </w:instrText>
        </w:r>
        <w:r>
          <w:rPr>
            <w:webHidden/>
          </w:rPr>
        </w:r>
        <w:r>
          <w:rPr>
            <w:webHidden/>
          </w:rPr>
          <w:fldChar w:fldCharType="separate"/>
        </w:r>
        <w:r>
          <w:rPr>
            <w:webHidden/>
          </w:rPr>
          <w:t>9</w:t>
        </w:r>
        <w:r>
          <w:rPr>
            <w:webHidden/>
          </w:rPr>
          <w:fldChar w:fldCharType="end"/>
        </w:r>
      </w:hyperlink>
    </w:p>
    <w:p w14:paraId="765BDEDA" w14:textId="334FFB4A" w:rsidR="0015431A" w:rsidRDefault="0015431A">
      <w:pPr>
        <w:pStyle w:val="TM3"/>
        <w:rPr>
          <w:rFonts w:asciiTheme="minorHAnsi" w:eastAsiaTheme="minorEastAsia" w:hAnsiTheme="minorHAnsi"/>
          <w:kern w:val="2"/>
          <w:sz w:val="24"/>
          <w:szCs w:val="24"/>
          <w:lang w:eastAsia="fr-FR"/>
          <w14:ligatures w14:val="standardContextual"/>
        </w:rPr>
      </w:pPr>
      <w:hyperlink w:anchor="_Toc206768611" w:history="1">
        <w:r w:rsidRPr="002838F0">
          <w:rPr>
            <w:rStyle w:val="Lienhypertexte"/>
          </w:rPr>
          <w:t>5.2.2 Remise du Dossier des ouvrages exécutés (DOE)</w:t>
        </w:r>
        <w:r>
          <w:rPr>
            <w:webHidden/>
          </w:rPr>
          <w:tab/>
        </w:r>
        <w:r>
          <w:rPr>
            <w:webHidden/>
          </w:rPr>
          <w:fldChar w:fldCharType="begin"/>
        </w:r>
        <w:r>
          <w:rPr>
            <w:webHidden/>
          </w:rPr>
          <w:instrText xml:space="preserve"> PAGEREF _Toc206768611 \h </w:instrText>
        </w:r>
        <w:r>
          <w:rPr>
            <w:webHidden/>
          </w:rPr>
        </w:r>
        <w:r>
          <w:rPr>
            <w:webHidden/>
          </w:rPr>
          <w:fldChar w:fldCharType="separate"/>
        </w:r>
        <w:r>
          <w:rPr>
            <w:webHidden/>
          </w:rPr>
          <w:t>10</w:t>
        </w:r>
        <w:r>
          <w:rPr>
            <w:webHidden/>
          </w:rPr>
          <w:fldChar w:fldCharType="end"/>
        </w:r>
      </w:hyperlink>
    </w:p>
    <w:p w14:paraId="3D8148EE" w14:textId="17F83786" w:rsidR="0015431A" w:rsidRDefault="0015431A">
      <w:pPr>
        <w:pStyle w:val="TM3"/>
        <w:rPr>
          <w:rFonts w:asciiTheme="minorHAnsi" w:eastAsiaTheme="minorEastAsia" w:hAnsiTheme="minorHAnsi"/>
          <w:kern w:val="2"/>
          <w:sz w:val="24"/>
          <w:szCs w:val="24"/>
          <w:lang w:eastAsia="fr-FR"/>
          <w14:ligatures w14:val="standardContextual"/>
        </w:rPr>
      </w:pPr>
      <w:hyperlink w:anchor="_Toc206768612" w:history="1">
        <w:r w:rsidRPr="002838F0">
          <w:rPr>
            <w:rStyle w:val="Lienhypertexte"/>
          </w:rPr>
          <w:t>5.2.3 Remise en état des lieux</w:t>
        </w:r>
        <w:r>
          <w:rPr>
            <w:webHidden/>
          </w:rPr>
          <w:tab/>
        </w:r>
        <w:r>
          <w:rPr>
            <w:webHidden/>
          </w:rPr>
          <w:fldChar w:fldCharType="begin"/>
        </w:r>
        <w:r>
          <w:rPr>
            <w:webHidden/>
          </w:rPr>
          <w:instrText xml:space="preserve"> PAGEREF _Toc206768612 \h </w:instrText>
        </w:r>
        <w:r>
          <w:rPr>
            <w:webHidden/>
          </w:rPr>
        </w:r>
        <w:r>
          <w:rPr>
            <w:webHidden/>
          </w:rPr>
          <w:fldChar w:fldCharType="separate"/>
        </w:r>
        <w:r>
          <w:rPr>
            <w:webHidden/>
          </w:rPr>
          <w:t>10</w:t>
        </w:r>
        <w:r>
          <w:rPr>
            <w:webHidden/>
          </w:rPr>
          <w:fldChar w:fldCharType="end"/>
        </w:r>
      </w:hyperlink>
    </w:p>
    <w:p w14:paraId="23D7B67E" w14:textId="727C80EB"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13" w:history="1">
        <w:r w:rsidRPr="002838F0">
          <w:rPr>
            <w:rStyle w:val="Lienhypertexte"/>
            <w:noProof/>
          </w:rPr>
          <w:t>Article 6 : Exécution financière du marché</w:t>
        </w:r>
        <w:r>
          <w:rPr>
            <w:noProof/>
            <w:webHidden/>
          </w:rPr>
          <w:tab/>
        </w:r>
        <w:r>
          <w:rPr>
            <w:noProof/>
            <w:webHidden/>
          </w:rPr>
          <w:fldChar w:fldCharType="begin"/>
        </w:r>
        <w:r>
          <w:rPr>
            <w:noProof/>
            <w:webHidden/>
          </w:rPr>
          <w:instrText xml:space="preserve"> PAGEREF _Toc206768613 \h </w:instrText>
        </w:r>
        <w:r>
          <w:rPr>
            <w:noProof/>
            <w:webHidden/>
          </w:rPr>
        </w:r>
        <w:r>
          <w:rPr>
            <w:noProof/>
            <w:webHidden/>
          </w:rPr>
          <w:fldChar w:fldCharType="separate"/>
        </w:r>
        <w:r>
          <w:rPr>
            <w:noProof/>
            <w:webHidden/>
          </w:rPr>
          <w:t>10</w:t>
        </w:r>
        <w:r>
          <w:rPr>
            <w:noProof/>
            <w:webHidden/>
          </w:rPr>
          <w:fldChar w:fldCharType="end"/>
        </w:r>
      </w:hyperlink>
    </w:p>
    <w:p w14:paraId="2580C60F" w14:textId="732B0779" w:rsidR="0015431A" w:rsidRDefault="0015431A">
      <w:pPr>
        <w:pStyle w:val="TM2"/>
        <w:rPr>
          <w:rFonts w:asciiTheme="minorHAnsi" w:eastAsiaTheme="minorEastAsia" w:hAnsiTheme="minorHAnsi"/>
          <w:kern w:val="2"/>
          <w:sz w:val="24"/>
          <w:szCs w:val="24"/>
          <w:lang w:eastAsia="fr-FR"/>
          <w14:ligatures w14:val="standardContextual"/>
        </w:rPr>
      </w:pPr>
      <w:hyperlink w:anchor="_Toc206768614" w:history="1">
        <w:r w:rsidRPr="002838F0">
          <w:rPr>
            <w:rStyle w:val="Lienhypertexte"/>
            <w14:scene3d>
              <w14:camera w14:prst="orthographicFront"/>
              <w14:lightRig w14:rig="threePt" w14:dir="t">
                <w14:rot w14:lat="0" w14:lon="0" w14:rev="0"/>
              </w14:lightRig>
            </w14:scene3d>
          </w:rPr>
          <w:t>6.1</w:t>
        </w:r>
        <w:r w:rsidRPr="002838F0">
          <w:rPr>
            <w:rStyle w:val="Lienhypertexte"/>
          </w:rPr>
          <w:t xml:space="preserve"> Montant du marché</w:t>
        </w:r>
        <w:r>
          <w:rPr>
            <w:webHidden/>
          </w:rPr>
          <w:tab/>
        </w:r>
        <w:r>
          <w:rPr>
            <w:webHidden/>
          </w:rPr>
          <w:fldChar w:fldCharType="begin"/>
        </w:r>
        <w:r>
          <w:rPr>
            <w:webHidden/>
          </w:rPr>
          <w:instrText xml:space="preserve"> PAGEREF _Toc206768614 \h </w:instrText>
        </w:r>
        <w:r>
          <w:rPr>
            <w:webHidden/>
          </w:rPr>
        </w:r>
        <w:r>
          <w:rPr>
            <w:webHidden/>
          </w:rPr>
          <w:fldChar w:fldCharType="separate"/>
        </w:r>
        <w:r>
          <w:rPr>
            <w:webHidden/>
          </w:rPr>
          <w:t>10</w:t>
        </w:r>
        <w:r>
          <w:rPr>
            <w:webHidden/>
          </w:rPr>
          <w:fldChar w:fldCharType="end"/>
        </w:r>
      </w:hyperlink>
    </w:p>
    <w:p w14:paraId="583AEF76" w14:textId="7C53C73B" w:rsidR="0015431A" w:rsidRDefault="0015431A">
      <w:pPr>
        <w:pStyle w:val="TM2"/>
        <w:rPr>
          <w:rFonts w:asciiTheme="minorHAnsi" w:eastAsiaTheme="minorEastAsia" w:hAnsiTheme="minorHAnsi"/>
          <w:kern w:val="2"/>
          <w:sz w:val="24"/>
          <w:szCs w:val="24"/>
          <w:lang w:eastAsia="fr-FR"/>
          <w14:ligatures w14:val="standardContextual"/>
        </w:rPr>
      </w:pPr>
      <w:hyperlink w:anchor="_Toc206768615" w:history="1">
        <w:r w:rsidRPr="002838F0">
          <w:rPr>
            <w:rStyle w:val="Lienhypertexte"/>
            <w14:scene3d>
              <w14:camera w14:prst="orthographicFront"/>
              <w14:lightRig w14:rig="threePt" w14:dir="t">
                <w14:rot w14:lat="0" w14:lon="0" w14:rev="0"/>
              </w14:lightRig>
            </w14:scene3d>
          </w:rPr>
          <w:t>6.2</w:t>
        </w:r>
        <w:r w:rsidRPr="002838F0">
          <w:rPr>
            <w:rStyle w:val="Lienhypertexte"/>
          </w:rPr>
          <w:t xml:space="preserve"> Variation des prix</w:t>
        </w:r>
        <w:r>
          <w:rPr>
            <w:webHidden/>
          </w:rPr>
          <w:tab/>
        </w:r>
        <w:r>
          <w:rPr>
            <w:webHidden/>
          </w:rPr>
          <w:fldChar w:fldCharType="begin"/>
        </w:r>
        <w:r>
          <w:rPr>
            <w:webHidden/>
          </w:rPr>
          <w:instrText xml:space="preserve"> PAGEREF _Toc206768615 \h </w:instrText>
        </w:r>
        <w:r>
          <w:rPr>
            <w:webHidden/>
          </w:rPr>
        </w:r>
        <w:r>
          <w:rPr>
            <w:webHidden/>
          </w:rPr>
          <w:fldChar w:fldCharType="separate"/>
        </w:r>
        <w:r>
          <w:rPr>
            <w:webHidden/>
          </w:rPr>
          <w:t>11</w:t>
        </w:r>
        <w:r>
          <w:rPr>
            <w:webHidden/>
          </w:rPr>
          <w:fldChar w:fldCharType="end"/>
        </w:r>
      </w:hyperlink>
    </w:p>
    <w:p w14:paraId="68015CAE" w14:textId="1EA85072" w:rsidR="0015431A" w:rsidRDefault="0015431A">
      <w:pPr>
        <w:pStyle w:val="TM2"/>
        <w:rPr>
          <w:rFonts w:asciiTheme="minorHAnsi" w:eastAsiaTheme="minorEastAsia" w:hAnsiTheme="minorHAnsi"/>
          <w:kern w:val="2"/>
          <w:sz w:val="24"/>
          <w:szCs w:val="24"/>
          <w:lang w:eastAsia="fr-FR"/>
          <w14:ligatures w14:val="standardContextual"/>
        </w:rPr>
      </w:pPr>
      <w:hyperlink w:anchor="_Toc206768616" w:history="1">
        <w:r w:rsidRPr="002838F0">
          <w:rPr>
            <w:rStyle w:val="Lienhypertexte"/>
            <w14:scene3d>
              <w14:camera w14:prst="orthographicFront"/>
              <w14:lightRig w14:rig="threePt" w14:dir="t">
                <w14:rot w14:lat="0" w14:lon="0" w14:rev="0"/>
              </w14:lightRig>
            </w14:scene3d>
          </w:rPr>
          <w:t>6.3</w:t>
        </w:r>
        <w:r w:rsidRPr="002838F0">
          <w:rPr>
            <w:rStyle w:val="Lienhypertexte"/>
          </w:rPr>
          <w:t xml:space="preserve"> Versement de l’avance</w:t>
        </w:r>
        <w:r>
          <w:rPr>
            <w:webHidden/>
          </w:rPr>
          <w:tab/>
        </w:r>
        <w:r>
          <w:rPr>
            <w:webHidden/>
          </w:rPr>
          <w:fldChar w:fldCharType="begin"/>
        </w:r>
        <w:r>
          <w:rPr>
            <w:webHidden/>
          </w:rPr>
          <w:instrText xml:space="preserve"> PAGEREF _Toc206768616 \h </w:instrText>
        </w:r>
        <w:r>
          <w:rPr>
            <w:webHidden/>
          </w:rPr>
        </w:r>
        <w:r>
          <w:rPr>
            <w:webHidden/>
          </w:rPr>
          <w:fldChar w:fldCharType="separate"/>
        </w:r>
        <w:r>
          <w:rPr>
            <w:webHidden/>
          </w:rPr>
          <w:t>11</w:t>
        </w:r>
        <w:r>
          <w:rPr>
            <w:webHidden/>
          </w:rPr>
          <w:fldChar w:fldCharType="end"/>
        </w:r>
      </w:hyperlink>
    </w:p>
    <w:p w14:paraId="174D5EBF" w14:textId="6A795FDD" w:rsidR="0015431A" w:rsidRDefault="0015431A">
      <w:pPr>
        <w:pStyle w:val="TM3"/>
        <w:rPr>
          <w:rFonts w:asciiTheme="minorHAnsi" w:eastAsiaTheme="minorEastAsia" w:hAnsiTheme="minorHAnsi"/>
          <w:kern w:val="2"/>
          <w:sz w:val="24"/>
          <w:szCs w:val="24"/>
          <w:lang w:eastAsia="fr-FR"/>
          <w14:ligatures w14:val="standardContextual"/>
        </w:rPr>
      </w:pPr>
      <w:hyperlink w:anchor="_Toc206768617" w:history="1">
        <w:r w:rsidRPr="002838F0">
          <w:rPr>
            <w:rStyle w:val="Lienhypertexte"/>
          </w:rPr>
          <w:t>6.3.1 Au titulaire</w:t>
        </w:r>
        <w:r>
          <w:rPr>
            <w:webHidden/>
          </w:rPr>
          <w:tab/>
        </w:r>
        <w:r>
          <w:rPr>
            <w:webHidden/>
          </w:rPr>
          <w:fldChar w:fldCharType="begin"/>
        </w:r>
        <w:r>
          <w:rPr>
            <w:webHidden/>
          </w:rPr>
          <w:instrText xml:space="preserve"> PAGEREF _Toc206768617 \h </w:instrText>
        </w:r>
        <w:r>
          <w:rPr>
            <w:webHidden/>
          </w:rPr>
        </w:r>
        <w:r>
          <w:rPr>
            <w:webHidden/>
          </w:rPr>
          <w:fldChar w:fldCharType="separate"/>
        </w:r>
        <w:r>
          <w:rPr>
            <w:webHidden/>
          </w:rPr>
          <w:t>11</w:t>
        </w:r>
        <w:r>
          <w:rPr>
            <w:webHidden/>
          </w:rPr>
          <w:fldChar w:fldCharType="end"/>
        </w:r>
      </w:hyperlink>
    </w:p>
    <w:p w14:paraId="0E388F92" w14:textId="648D1A94" w:rsidR="0015431A" w:rsidRDefault="0015431A">
      <w:pPr>
        <w:pStyle w:val="TM3"/>
        <w:rPr>
          <w:rFonts w:asciiTheme="minorHAnsi" w:eastAsiaTheme="minorEastAsia" w:hAnsiTheme="minorHAnsi"/>
          <w:kern w:val="2"/>
          <w:sz w:val="24"/>
          <w:szCs w:val="24"/>
          <w:lang w:eastAsia="fr-FR"/>
          <w14:ligatures w14:val="standardContextual"/>
        </w:rPr>
      </w:pPr>
      <w:hyperlink w:anchor="_Toc206768618" w:history="1">
        <w:r w:rsidRPr="002838F0">
          <w:rPr>
            <w:rStyle w:val="Lienhypertexte"/>
          </w:rPr>
          <w:t>6.3.2 Aux sous-traitants</w:t>
        </w:r>
        <w:r>
          <w:rPr>
            <w:webHidden/>
          </w:rPr>
          <w:tab/>
        </w:r>
        <w:r>
          <w:rPr>
            <w:webHidden/>
          </w:rPr>
          <w:fldChar w:fldCharType="begin"/>
        </w:r>
        <w:r>
          <w:rPr>
            <w:webHidden/>
          </w:rPr>
          <w:instrText xml:space="preserve"> PAGEREF _Toc206768618 \h </w:instrText>
        </w:r>
        <w:r>
          <w:rPr>
            <w:webHidden/>
          </w:rPr>
        </w:r>
        <w:r>
          <w:rPr>
            <w:webHidden/>
          </w:rPr>
          <w:fldChar w:fldCharType="separate"/>
        </w:r>
        <w:r>
          <w:rPr>
            <w:webHidden/>
          </w:rPr>
          <w:t>11</w:t>
        </w:r>
        <w:r>
          <w:rPr>
            <w:webHidden/>
          </w:rPr>
          <w:fldChar w:fldCharType="end"/>
        </w:r>
      </w:hyperlink>
    </w:p>
    <w:p w14:paraId="2AE880C6" w14:textId="30728F01" w:rsidR="0015431A" w:rsidRDefault="0015431A">
      <w:pPr>
        <w:pStyle w:val="TM2"/>
        <w:rPr>
          <w:rFonts w:asciiTheme="minorHAnsi" w:eastAsiaTheme="minorEastAsia" w:hAnsiTheme="minorHAnsi"/>
          <w:kern w:val="2"/>
          <w:sz w:val="24"/>
          <w:szCs w:val="24"/>
          <w:lang w:eastAsia="fr-FR"/>
          <w14:ligatures w14:val="standardContextual"/>
        </w:rPr>
      </w:pPr>
      <w:hyperlink w:anchor="_Toc206768619" w:history="1">
        <w:r w:rsidRPr="002838F0">
          <w:rPr>
            <w:rStyle w:val="Lienhypertexte"/>
            <w14:scene3d>
              <w14:camera w14:prst="orthographicFront"/>
              <w14:lightRig w14:rig="threePt" w14:dir="t">
                <w14:rot w14:lat="0" w14:lon="0" w14:rev="0"/>
              </w14:lightRig>
            </w14:scene3d>
          </w:rPr>
          <w:t>6.4</w:t>
        </w:r>
        <w:r w:rsidRPr="002838F0">
          <w:rPr>
            <w:rStyle w:val="Lienhypertexte"/>
          </w:rPr>
          <w:t xml:space="preserve"> Acomptes</w:t>
        </w:r>
        <w:r>
          <w:rPr>
            <w:webHidden/>
          </w:rPr>
          <w:tab/>
        </w:r>
        <w:r>
          <w:rPr>
            <w:webHidden/>
          </w:rPr>
          <w:fldChar w:fldCharType="begin"/>
        </w:r>
        <w:r>
          <w:rPr>
            <w:webHidden/>
          </w:rPr>
          <w:instrText xml:space="preserve"> PAGEREF _Toc206768619 \h </w:instrText>
        </w:r>
        <w:r>
          <w:rPr>
            <w:webHidden/>
          </w:rPr>
        </w:r>
        <w:r>
          <w:rPr>
            <w:webHidden/>
          </w:rPr>
          <w:fldChar w:fldCharType="separate"/>
        </w:r>
        <w:r>
          <w:rPr>
            <w:webHidden/>
          </w:rPr>
          <w:t>11</w:t>
        </w:r>
        <w:r>
          <w:rPr>
            <w:webHidden/>
          </w:rPr>
          <w:fldChar w:fldCharType="end"/>
        </w:r>
      </w:hyperlink>
    </w:p>
    <w:p w14:paraId="34A0F044" w14:textId="2BA63FD0" w:rsidR="0015431A" w:rsidRDefault="0015431A">
      <w:pPr>
        <w:pStyle w:val="TM2"/>
        <w:rPr>
          <w:rFonts w:asciiTheme="minorHAnsi" w:eastAsiaTheme="minorEastAsia" w:hAnsiTheme="minorHAnsi"/>
          <w:kern w:val="2"/>
          <w:sz w:val="24"/>
          <w:szCs w:val="24"/>
          <w:lang w:eastAsia="fr-FR"/>
          <w14:ligatures w14:val="standardContextual"/>
        </w:rPr>
      </w:pPr>
      <w:hyperlink w:anchor="_Toc206768620" w:history="1">
        <w:r w:rsidRPr="002838F0">
          <w:rPr>
            <w:rStyle w:val="Lienhypertexte"/>
            <w14:scene3d>
              <w14:camera w14:prst="orthographicFront"/>
              <w14:lightRig w14:rig="threePt" w14:dir="t">
                <w14:rot w14:lat="0" w14:lon="0" w14:rev="0"/>
              </w14:lightRig>
            </w14:scene3d>
          </w:rPr>
          <w:t>6.5</w:t>
        </w:r>
        <w:r w:rsidRPr="002838F0">
          <w:rPr>
            <w:rStyle w:val="Lienhypertexte"/>
          </w:rPr>
          <w:t xml:space="preserve"> Retenue sur garantie</w:t>
        </w:r>
        <w:r>
          <w:rPr>
            <w:webHidden/>
          </w:rPr>
          <w:tab/>
        </w:r>
        <w:r>
          <w:rPr>
            <w:webHidden/>
          </w:rPr>
          <w:fldChar w:fldCharType="begin"/>
        </w:r>
        <w:r>
          <w:rPr>
            <w:webHidden/>
          </w:rPr>
          <w:instrText xml:space="preserve"> PAGEREF _Toc206768620 \h </w:instrText>
        </w:r>
        <w:r>
          <w:rPr>
            <w:webHidden/>
          </w:rPr>
        </w:r>
        <w:r>
          <w:rPr>
            <w:webHidden/>
          </w:rPr>
          <w:fldChar w:fldCharType="separate"/>
        </w:r>
        <w:r>
          <w:rPr>
            <w:webHidden/>
          </w:rPr>
          <w:t>12</w:t>
        </w:r>
        <w:r>
          <w:rPr>
            <w:webHidden/>
          </w:rPr>
          <w:fldChar w:fldCharType="end"/>
        </w:r>
      </w:hyperlink>
    </w:p>
    <w:p w14:paraId="1D2E2D5B" w14:textId="0527B180" w:rsidR="0015431A" w:rsidRDefault="0015431A">
      <w:pPr>
        <w:pStyle w:val="TM2"/>
        <w:rPr>
          <w:rFonts w:asciiTheme="minorHAnsi" w:eastAsiaTheme="minorEastAsia" w:hAnsiTheme="minorHAnsi"/>
          <w:kern w:val="2"/>
          <w:sz w:val="24"/>
          <w:szCs w:val="24"/>
          <w:lang w:eastAsia="fr-FR"/>
          <w14:ligatures w14:val="standardContextual"/>
        </w:rPr>
      </w:pPr>
      <w:hyperlink w:anchor="_Toc206768621" w:history="1">
        <w:r w:rsidRPr="002838F0">
          <w:rPr>
            <w:rStyle w:val="Lienhypertexte"/>
            <w14:scene3d>
              <w14:camera w14:prst="orthographicFront"/>
              <w14:lightRig w14:rig="threePt" w14:dir="t">
                <w14:rot w14:lat="0" w14:lon="0" w14:rev="0"/>
              </w14:lightRig>
            </w14:scene3d>
          </w:rPr>
          <w:t>6.6</w:t>
        </w:r>
        <w:r w:rsidRPr="002838F0">
          <w:rPr>
            <w:rStyle w:val="Lienhypertexte"/>
          </w:rPr>
          <w:t xml:space="preserve"> Règlement des comptes du titulaire</w:t>
        </w:r>
        <w:r>
          <w:rPr>
            <w:webHidden/>
          </w:rPr>
          <w:tab/>
        </w:r>
        <w:r>
          <w:rPr>
            <w:webHidden/>
          </w:rPr>
          <w:fldChar w:fldCharType="begin"/>
        </w:r>
        <w:r>
          <w:rPr>
            <w:webHidden/>
          </w:rPr>
          <w:instrText xml:space="preserve"> PAGEREF _Toc206768621 \h </w:instrText>
        </w:r>
        <w:r>
          <w:rPr>
            <w:webHidden/>
          </w:rPr>
        </w:r>
        <w:r>
          <w:rPr>
            <w:webHidden/>
          </w:rPr>
          <w:fldChar w:fldCharType="separate"/>
        </w:r>
        <w:r>
          <w:rPr>
            <w:webHidden/>
          </w:rPr>
          <w:t>12</w:t>
        </w:r>
        <w:r>
          <w:rPr>
            <w:webHidden/>
          </w:rPr>
          <w:fldChar w:fldCharType="end"/>
        </w:r>
      </w:hyperlink>
    </w:p>
    <w:p w14:paraId="0F8ECEEF" w14:textId="19D8E06F" w:rsidR="0015431A" w:rsidRDefault="0015431A">
      <w:pPr>
        <w:pStyle w:val="TM2"/>
        <w:rPr>
          <w:rFonts w:asciiTheme="minorHAnsi" w:eastAsiaTheme="minorEastAsia" w:hAnsiTheme="minorHAnsi"/>
          <w:kern w:val="2"/>
          <w:sz w:val="24"/>
          <w:szCs w:val="24"/>
          <w:lang w:eastAsia="fr-FR"/>
          <w14:ligatures w14:val="standardContextual"/>
        </w:rPr>
      </w:pPr>
      <w:hyperlink w:anchor="_Toc206768622" w:history="1">
        <w:r w:rsidRPr="002838F0">
          <w:rPr>
            <w:rStyle w:val="Lienhypertexte"/>
            <w14:scene3d>
              <w14:camera w14:prst="orthographicFront"/>
              <w14:lightRig w14:rig="threePt" w14:dir="t">
                <w14:rot w14:lat="0" w14:lon="0" w14:rev="0"/>
              </w14:lightRig>
            </w14:scene3d>
          </w:rPr>
          <w:t>6.7</w:t>
        </w:r>
        <w:r w:rsidRPr="002838F0">
          <w:rPr>
            <w:rStyle w:val="Lienhypertexte"/>
          </w:rPr>
          <w:t xml:space="preserve"> Présentation des demandes de paiement</w:t>
        </w:r>
        <w:r>
          <w:rPr>
            <w:webHidden/>
          </w:rPr>
          <w:tab/>
        </w:r>
        <w:r>
          <w:rPr>
            <w:webHidden/>
          </w:rPr>
          <w:fldChar w:fldCharType="begin"/>
        </w:r>
        <w:r>
          <w:rPr>
            <w:webHidden/>
          </w:rPr>
          <w:instrText xml:space="preserve"> PAGEREF _Toc206768622 \h </w:instrText>
        </w:r>
        <w:r>
          <w:rPr>
            <w:webHidden/>
          </w:rPr>
        </w:r>
        <w:r>
          <w:rPr>
            <w:webHidden/>
          </w:rPr>
          <w:fldChar w:fldCharType="separate"/>
        </w:r>
        <w:r>
          <w:rPr>
            <w:webHidden/>
          </w:rPr>
          <w:t>12</w:t>
        </w:r>
        <w:r>
          <w:rPr>
            <w:webHidden/>
          </w:rPr>
          <w:fldChar w:fldCharType="end"/>
        </w:r>
      </w:hyperlink>
    </w:p>
    <w:p w14:paraId="74A55640" w14:textId="5B8BC371" w:rsidR="0015431A" w:rsidRDefault="0015431A">
      <w:pPr>
        <w:pStyle w:val="TM2"/>
        <w:rPr>
          <w:rFonts w:asciiTheme="minorHAnsi" w:eastAsiaTheme="minorEastAsia" w:hAnsiTheme="minorHAnsi"/>
          <w:kern w:val="2"/>
          <w:sz w:val="24"/>
          <w:szCs w:val="24"/>
          <w:lang w:eastAsia="fr-FR"/>
          <w14:ligatures w14:val="standardContextual"/>
        </w:rPr>
      </w:pPr>
      <w:hyperlink w:anchor="_Toc206768623" w:history="1">
        <w:r w:rsidRPr="002838F0">
          <w:rPr>
            <w:rStyle w:val="Lienhypertexte"/>
            <w14:scene3d>
              <w14:camera w14:prst="orthographicFront"/>
              <w14:lightRig w14:rig="threePt" w14:dir="t">
                <w14:rot w14:lat="0" w14:lon="0" w14:rev="0"/>
              </w14:lightRig>
            </w14:scene3d>
          </w:rPr>
          <w:t>6.8</w:t>
        </w:r>
        <w:r w:rsidRPr="002838F0">
          <w:rPr>
            <w:rStyle w:val="Lienhypertexte"/>
          </w:rPr>
          <w:t xml:space="preserve"> Délais de paiement</w:t>
        </w:r>
        <w:r>
          <w:rPr>
            <w:webHidden/>
          </w:rPr>
          <w:tab/>
        </w:r>
        <w:r>
          <w:rPr>
            <w:webHidden/>
          </w:rPr>
          <w:fldChar w:fldCharType="begin"/>
        </w:r>
        <w:r>
          <w:rPr>
            <w:webHidden/>
          </w:rPr>
          <w:instrText xml:space="preserve"> PAGEREF _Toc206768623 \h </w:instrText>
        </w:r>
        <w:r>
          <w:rPr>
            <w:webHidden/>
          </w:rPr>
        </w:r>
        <w:r>
          <w:rPr>
            <w:webHidden/>
          </w:rPr>
          <w:fldChar w:fldCharType="separate"/>
        </w:r>
        <w:r>
          <w:rPr>
            <w:webHidden/>
          </w:rPr>
          <w:t>13</w:t>
        </w:r>
        <w:r>
          <w:rPr>
            <w:webHidden/>
          </w:rPr>
          <w:fldChar w:fldCharType="end"/>
        </w:r>
      </w:hyperlink>
    </w:p>
    <w:p w14:paraId="05EAD4A2" w14:textId="6D721EDA"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24" w:history="1">
        <w:r w:rsidRPr="002838F0">
          <w:rPr>
            <w:rStyle w:val="Lienhypertexte"/>
            <w:noProof/>
          </w:rPr>
          <w:t>Article 7 : Délais d’exécution des prestations</w:t>
        </w:r>
        <w:r>
          <w:rPr>
            <w:noProof/>
            <w:webHidden/>
          </w:rPr>
          <w:tab/>
        </w:r>
        <w:r>
          <w:rPr>
            <w:noProof/>
            <w:webHidden/>
          </w:rPr>
          <w:fldChar w:fldCharType="begin"/>
        </w:r>
        <w:r>
          <w:rPr>
            <w:noProof/>
            <w:webHidden/>
          </w:rPr>
          <w:instrText xml:space="preserve"> PAGEREF _Toc206768624 \h </w:instrText>
        </w:r>
        <w:r>
          <w:rPr>
            <w:noProof/>
            <w:webHidden/>
          </w:rPr>
        </w:r>
        <w:r>
          <w:rPr>
            <w:noProof/>
            <w:webHidden/>
          </w:rPr>
          <w:fldChar w:fldCharType="separate"/>
        </w:r>
        <w:r>
          <w:rPr>
            <w:noProof/>
            <w:webHidden/>
          </w:rPr>
          <w:t>13</w:t>
        </w:r>
        <w:r>
          <w:rPr>
            <w:noProof/>
            <w:webHidden/>
          </w:rPr>
          <w:fldChar w:fldCharType="end"/>
        </w:r>
      </w:hyperlink>
    </w:p>
    <w:p w14:paraId="1CEBF63D" w14:textId="4FAD0C37" w:rsidR="0015431A" w:rsidRDefault="0015431A">
      <w:pPr>
        <w:pStyle w:val="TM2"/>
        <w:rPr>
          <w:rFonts w:asciiTheme="minorHAnsi" w:eastAsiaTheme="minorEastAsia" w:hAnsiTheme="minorHAnsi"/>
          <w:kern w:val="2"/>
          <w:sz w:val="24"/>
          <w:szCs w:val="24"/>
          <w:lang w:eastAsia="fr-FR"/>
          <w14:ligatures w14:val="standardContextual"/>
        </w:rPr>
      </w:pPr>
      <w:hyperlink w:anchor="_Toc206768625" w:history="1">
        <w:r w:rsidRPr="002838F0">
          <w:rPr>
            <w:rStyle w:val="Lienhypertexte"/>
            <w14:scene3d>
              <w14:camera w14:prst="orthographicFront"/>
              <w14:lightRig w14:rig="threePt" w14:dir="t">
                <w14:rot w14:lat="0" w14:lon="0" w14:rev="0"/>
              </w14:lightRig>
            </w14:scene3d>
          </w:rPr>
          <w:t>7.1</w:t>
        </w:r>
        <w:r w:rsidRPr="002838F0">
          <w:rPr>
            <w:rStyle w:val="Lienhypertexte"/>
          </w:rPr>
          <w:t xml:space="preserve"> Délais de base</w:t>
        </w:r>
        <w:r>
          <w:rPr>
            <w:webHidden/>
          </w:rPr>
          <w:tab/>
        </w:r>
        <w:r>
          <w:rPr>
            <w:webHidden/>
          </w:rPr>
          <w:fldChar w:fldCharType="begin"/>
        </w:r>
        <w:r>
          <w:rPr>
            <w:webHidden/>
          </w:rPr>
          <w:instrText xml:space="preserve"> PAGEREF _Toc206768625 \h </w:instrText>
        </w:r>
        <w:r>
          <w:rPr>
            <w:webHidden/>
          </w:rPr>
        </w:r>
        <w:r>
          <w:rPr>
            <w:webHidden/>
          </w:rPr>
          <w:fldChar w:fldCharType="separate"/>
        </w:r>
        <w:r>
          <w:rPr>
            <w:webHidden/>
          </w:rPr>
          <w:t>13</w:t>
        </w:r>
        <w:r>
          <w:rPr>
            <w:webHidden/>
          </w:rPr>
          <w:fldChar w:fldCharType="end"/>
        </w:r>
      </w:hyperlink>
    </w:p>
    <w:p w14:paraId="23523C28" w14:textId="5B108D65" w:rsidR="0015431A" w:rsidRDefault="0015431A">
      <w:pPr>
        <w:pStyle w:val="TM2"/>
        <w:rPr>
          <w:rFonts w:asciiTheme="minorHAnsi" w:eastAsiaTheme="minorEastAsia" w:hAnsiTheme="minorHAnsi"/>
          <w:kern w:val="2"/>
          <w:sz w:val="24"/>
          <w:szCs w:val="24"/>
          <w:lang w:eastAsia="fr-FR"/>
          <w14:ligatures w14:val="standardContextual"/>
        </w:rPr>
      </w:pPr>
      <w:hyperlink w:anchor="_Toc206768626" w:history="1">
        <w:r w:rsidRPr="002838F0">
          <w:rPr>
            <w:rStyle w:val="Lienhypertexte"/>
            <w14:scene3d>
              <w14:camera w14:prst="orthographicFront"/>
              <w14:lightRig w14:rig="threePt" w14:dir="t">
                <w14:rot w14:lat="0" w14:lon="0" w14:rev="0"/>
              </w14:lightRig>
            </w14:scene3d>
          </w:rPr>
          <w:t>7.2</w:t>
        </w:r>
        <w:r w:rsidRPr="002838F0">
          <w:rPr>
            <w:rStyle w:val="Lienhypertexte"/>
          </w:rPr>
          <w:t xml:space="preserve"> Prolongation des délais</w:t>
        </w:r>
        <w:r>
          <w:rPr>
            <w:webHidden/>
          </w:rPr>
          <w:tab/>
        </w:r>
        <w:r>
          <w:rPr>
            <w:webHidden/>
          </w:rPr>
          <w:fldChar w:fldCharType="begin"/>
        </w:r>
        <w:r>
          <w:rPr>
            <w:webHidden/>
          </w:rPr>
          <w:instrText xml:space="preserve"> PAGEREF _Toc206768626 \h </w:instrText>
        </w:r>
        <w:r>
          <w:rPr>
            <w:webHidden/>
          </w:rPr>
        </w:r>
        <w:r>
          <w:rPr>
            <w:webHidden/>
          </w:rPr>
          <w:fldChar w:fldCharType="separate"/>
        </w:r>
        <w:r>
          <w:rPr>
            <w:webHidden/>
          </w:rPr>
          <w:t>14</w:t>
        </w:r>
        <w:r>
          <w:rPr>
            <w:webHidden/>
          </w:rPr>
          <w:fldChar w:fldCharType="end"/>
        </w:r>
      </w:hyperlink>
    </w:p>
    <w:p w14:paraId="24DA94A3" w14:textId="095DB677" w:rsidR="0015431A" w:rsidRDefault="0015431A">
      <w:pPr>
        <w:pStyle w:val="TM2"/>
        <w:rPr>
          <w:rFonts w:asciiTheme="minorHAnsi" w:eastAsiaTheme="minorEastAsia" w:hAnsiTheme="minorHAnsi"/>
          <w:kern w:val="2"/>
          <w:sz w:val="24"/>
          <w:szCs w:val="24"/>
          <w:lang w:eastAsia="fr-FR"/>
          <w14:ligatures w14:val="standardContextual"/>
        </w:rPr>
      </w:pPr>
      <w:hyperlink w:anchor="_Toc206768627" w:history="1">
        <w:r w:rsidRPr="002838F0">
          <w:rPr>
            <w:rStyle w:val="Lienhypertexte"/>
            <w14:scene3d>
              <w14:camera w14:prst="orthographicFront"/>
              <w14:lightRig w14:rig="threePt" w14:dir="t">
                <w14:rot w14:lat="0" w14:lon="0" w14:rev="0"/>
              </w14:lightRig>
            </w14:scene3d>
          </w:rPr>
          <w:t>7.3</w:t>
        </w:r>
        <w:r w:rsidRPr="002838F0">
          <w:rPr>
            <w:rStyle w:val="Lienhypertexte"/>
          </w:rPr>
          <w:t xml:space="preserve"> Autres délais contractuels</w:t>
        </w:r>
        <w:r>
          <w:rPr>
            <w:webHidden/>
          </w:rPr>
          <w:tab/>
        </w:r>
        <w:r>
          <w:rPr>
            <w:webHidden/>
          </w:rPr>
          <w:fldChar w:fldCharType="begin"/>
        </w:r>
        <w:r>
          <w:rPr>
            <w:webHidden/>
          </w:rPr>
          <w:instrText xml:space="preserve"> PAGEREF _Toc206768627 \h </w:instrText>
        </w:r>
        <w:r>
          <w:rPr>
            <w:webHidden/>
          </w:rPr>
        </w:r>
        <w:r>
          <w:rPr>
            <w:webHidden/>
          </w:rPr>
          <w:fldChar w:fldCharType="separate"/>
        </w:r>
        <w:r>
          <w:rPr>
            <w:webHidden/>
          </w:rPr>
          <w:t>14</w:t>
        </w:r>
        <w:r>
          <w:rPr>
            <w:webHidden/>
          </w:rPr>
          <w:fldChar w:fldCharType="end"/>
        </w:r>
      </w:hyperlink>
    </w:p>
    <w:p w14:paraId="7084FD57" w14:textId="539D45B0"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28" w:history="1">
        <w:r w:rsidRPr="002838F0">
          <w:rPr>
            <w:rStyle w:val="Lienhypertexte"/>
            <w:noProof/>
          </w:rPr>
          <w:t>Article 8 : Pénalités</w:t>
        </w:r>
        <w:r>
          <w:rPr>
            <w:noProof/>
            <w:webHidden/>
          </w:rPr>
          <w:tab/>
        </w:r>
        <w:r>
          <w:rPr>
            <w:noProof/>
            <w:webHidden/>
          </w:rPr>
          <w:fldChar w:fldCharType="begin"/>
        </w:r>
        <w:r>
          <w:rPr>
            <w:noProof/>
            <w:webHidden/>
          </w:rPr>
          <w:instrText xml:space="preserve"> PAGEREF _Toc206768628 \h </w:instrText>
        </w:r>
        <w:r>
          <w:rPr>
            <w:noProof/>
            <w:webHidden/>
          </w:rPr>
        </w:r>
        <w:r>
          <w:rPr>
            <w:noProof/>
            <w:webHidden/>
          </w:rPr>
          <w:fldChar w:fldCharType="separate"/>
        </w:r>
        <w:r>
          <w:rPr>
            <w:noProof/>
            <w:webHidden/>
          </w:rPr>
          <w:t>14</w:t>
        </w:r>
        <w:r>
          <w:rPr>
            <w:noProof/>
            <w:webHidden/>
          </w:rPr>
          <w:fldChar w:fldCharType="end"/>
        </w:r>
      </w:hyperlink>
    </w:p>
    <w:p w14:paraId="38F7E16D" w14:textId="0BD31D5C" w:rsidR="0015431A" w:rsidRDefault="0015431A">
      <w:pPr>
        <w:pStyle w:val="TM2"/>
        <w:rPr>
          <w:rFonts w:asciiTheme="minorHAnsi" w:eastAsiaTheme="minorEastAsia" w:hAnsiTheme="minorHAnsi"/>
          <w:kern w:val="2"/>
          <w:sz w:val="24"/>
          <w:szCs w:val="24"/>
          <w:lang w:eastAsia="fr-FR"/>
          <w14:ligatures w14:val="standardContextual"/>
        </w:rPr>
      </w:pPr>
      <w:hyperlink w:anchor="_Toc206768629" w:history="1">
        <w:r w:rsidRPr="002838F0">
          <w:rPr>
            <w:rStyle w:val="Lienhypertexte"/>
            <w14:scene3d>
              <w14:camera w14:prst="orthographicFront"/>
              <w14:lightRig w14:rig="threePt" w14:dir="t">
                <w14:rot w14:lat="0" w14:lon="0" w14:rev="0"/>
              </w14:lightRig>
            </w14:scene3d>
          </w:rPr>
          <w:t>8.1</w:t>
        </w:r>
        <w:r w:rsidRPr="002838F0">
          <w:rPr>
            <w:rStyle w:val="Lienhypertexte"/>
          </w:rPr>
          <w:t xml:space="preserve"> Pénalités de retard</w:t>
        </w:r>
        <w:r>
          <w:rPr>
            <w:webHidden/>
          </w:rPr>
          <w:tab/>
        </w:r>
        <w:r>
          <w:rPr>
            <w:webHidden/>
          </w:rPr>
          <w:fldChar w:fldCharType="begin"/>
        </w:r>
        <w:r>
          <w:rPr>
            <w:webHidden/>
          </w:rPr>
          <w:instrText xml:space="preserve"> PAGEREF _Toc206768629 \h </w:instrText>
        </w:r>
        <w:r>
          <w:rPr>
            <w:webHidden/>
          </w:rPr>
        </w:r>
        <w:r>
          <w:rPr>
            <w:webHidden/>
          </w:rPr>
          <w:fldChar w:fldCharType="separate"/>
        </w:r>
        <w:r>
          <w:rPr>
            <w:webHidden/>
          </w:rPr>
          <w:t>15</w:t>
        </w:r>
        <w:r>
          <w:rPr>
            <w:webHidden/>
          </w:rPr>
          <w:fldChar w:fldCharType="end"/>
        </w:r>
      </w:hyperlink>
    </w:p>
    <w:p w14:paraId="188FDEF4" w14:textId="2BDC8928" w:rsidR="0015431A" w:rsidRDefault="0015431A">
      <w:pPr>
        <w:pStyle w:val="TM2"/>
        <w:rPr>
          <w:rFonts w:asciiTheme="minorHAnsi" w:eastAsiaTheme="minorEastAsia" w:hAnsiTheme="minorHAnsi"/>
          <w:kern w:val="2"/>
          <w:sz w:val="24"/>
          <w:szCs w:val="24"/>
          <w:lang w:eastAsia="fr-FR"/>
          <w14:ligatures w14:val="standardContextual"/>
        </w:rPr>
      </w:pPr>
      <w:hyperlink w:anchor="_Toc206768630" w:history="1">
        <w:r w:rsidRPr="002838F0">
          <w:rPr>
            <w:rStyle w:val="Lienhypertexte"/>
            <w14:scene3d>
              <w14:camera w14:prst="orthographicFront"/>
              <w14:lightRig w14:rig="threePt" w14:dir="t">
                <w14:rot w14:lat="0" w14:lon="0" w14:rev="0"/>
              </w14:lightRig>
            </w14:scene3d>
          </w:rPr>
          <w:t>8.2</w:t>
        </w:r>
        <w:r w:rsidRPr="002838F0">
          <w:rPr>
            <w:rStyle w:val="Lienhypertexte"/>
          </w:rPr>
          <w:t xml:space="preserve"> Autres pénalités</w:t>
        </w:r>
        <w:r>
          <w:rPr>
            <w:webHidden/>
          </w:rPr>
          <w:tab/>
        </w:r>
        <w:r>
          <w:rPr>
            <w:webHidden/>
          </w:rPr>
          <w:fldChar w:fldCharType="begin"/>
        </w:r>
        <w:r>
          <w:rPr>
            <w:webHidden/>
          </w:rPr>
          <w:instrText xml:space="preserve"> PAGEREF _Toc206768630 \h </w:instrText>
        </w:r>
        <w:r>
          <w:rPr>
            <w:webHidden/>
          </w:rPr>
        </w:r>
        <w:r>
          <w:rPr>
            <w:webHidden/>
          </w:rPr>
          <w:fldChar w:fldCharType="separate"/>
        </w:r>
        <w:r>
          <w:rPr>
            <w:webHidden/>
          </w:rPr>
          <w:t>16</w:t>
        </w:r>
        <w:r>
          <w:rPr>
            <w:webHidden/>
          </w:rPr>
          <w:fldChar w:fldCharType="end"/>
        </w:r>
      </w:hyperlink>
    </w:p>
    <w:p w14:paraId="6268EDA3" w14:textId="343663DC"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31" w:history="1">
        <w:r w:rsidRPr="002838F0">
          <w:rPr>
            <w:rStyle w:val="Lienhypertexte"/>
            <w:noProof/>
          </w:rPr>
          <w:t>Article 9 : Résiliation du marché</w:t>
        </w:r>
        <w:r>
          <w:rPr>
            <w:noProof/>
            <w:webHidden/>
          </w:rPr>
          <w:tab/>
        </w:r>
        <w:r>
          <w:rPr>
            <w:noProof/>
            <w:webHidden/>
          </w:rPr>
          <w:fldChar w:fldCharType="begin"/>
        </w:r>
        <w:r>
          <w:rPr>
            <w:noProof/>
            <w:webHidden/>
          </w:rPr>
          <w:instrText xml:space="preserve"> PAGEREF _Toc206768631 \h </w:instrText>
        </w:r>
        <w:r>
          <w:rPr>
            <w:noProof/>
            <w:webHidden/>
          </w:rPr>
        </w:r>
        <w:r>
          <w:rPr>
            <w:noProof/>
            <w:webHidden/>
          </w:rPr>
          <w:fldChar w:fldCharType="separate"/>
        </w:r>
        <w:r>
          <w:rPr>
            <w:noProof/>
            <w:webHidden/>
          </w:rPr>
          <w:t>16</w:t>
        </w:r>
        <w:r>
          <w:rPr>
            <w:noProof/>
            <w:webHidden/>
          </w:rPr>
          <w:fldChar w:fldCharType="end"/>
        </w:r>
      </w:hyperlink>
    </w:p>
    <w:p w14:paraId="6E716C7D" w14:textId="47D6D296" w:rsidR="0015431A" w:rsidRDefault="0015431A">
      <w:pPr>
        <w:pStyle w:val="TM2"/>
        <w:rPr>
          <w:rFonts w:asciiTheme="minorHAnsi" w:eastAsiaTheme="minorEastAsia" w:hAnsiTheme="minorHAnsi"/>
          <w:kern w:val="2"/>
          <w:sz w:val="24"/>
          <w:szCs w:val="24"/>
          <w:lang w:eastAsia="fr-FR"/>
          <w14:ligatures w14:val="standardContextual"/>
        </w:rPr>
      </w:pPr>
      <w:hyperlink w:anchor="_Toc206768632" w:history="1">
        <w:r w:rsidRPr="002838F0">
          <w:rPr>
            <w:rStyle w:val="Lienhypertexte"/>
            <w14:scene3d>
              <w14:camera w14:prst="orthographicFront"/>
              <w14:lightRig w14:rig="threePt" w14:dir="t">
                <w14:rot w14:lat="0" w14:lon="0" w14:rev="0"/>
              </w14:lightRig>
            </w14:scene3d>
          </w:rPr>
          <w:t>9.1</w:t>
        </w:r>
        <w:r w:rsidRPr="002838F0">
          <w:rPr>
            <w:rStyle w:val="Lienhypertexte"/>
          </w:rPr>
          <w:t xml:space="preserve"> Résiliation pour motif d’intérêt général</w:t>
        </w:r>
        <w:r>
          <w:rPr>
            <w:webHidden/>
          </w:rPr>
          <w:tab/>
        </w:r>
        <w:r>
          <w:rPr>
            <w:webHidden/>
          </w:rPr>
          <w:fldChar w:fldCharType="begin"/>
        </w:r>
        <w:r>
          <w:rPr>
            <w:webHidden/>
          </w:rPr>
          <w:instrText xml:space="preserve"> PAGEREF _Toc206768632 \h </w:instrText>
        </w:r>
        <w:r>
          <w:rPr>
            <w:webHidden/>
          </w:rPr>
        </w:r>
        <w:r>
          <w:rPr>
            <w:webHidden/>
          </w:rPr>
          <w:fldChar w:fldCharType="separate"/>
        </w:r>
        <w:r>
          <w:rPr>
            <w:webHidden/>
          </w:rPr>
          <w:t>17</w:t>
        </w:r>
        <w:r>
          <w:rPr>
            <w:webHidden/>
          </w:rPr>
          <w:fldChar w:fldCharType="end"/>
        </w:r>
      </w:hyperlink>
    </w:p>
    <w:p w14:paraId="105BF54B" w14:textId="61F9CD1F" w:rsidR="0015431A" w:rsidRDefault="0015431A">
      <w:pPr>
        <w:pStyle w:val="TM2"/>
        <w:rPr>
          <w:rFonts w:asciiTheme="minorHAnsi" w:eastAsiaTheme="minorEastAsia" w:hAnsiTheme="minorHAnsi"/>
          <w:kern w:val="2"/>
          <w:sz w:val="24"/>
          <w:szCs w:val="24"/>
          <w:lang w:eastAsia="fr-FR"/>
          <w14:ligatures w14:val="standardContextual"/>
        </w:rPr>
      </w:pPr>
      <w:hyperlink w:anchor="_Toc206768633" w:history="1">
        <w:r w:rsidRPr="002838F0">
          <w:rPr>
            <w:rStyle w:val="Lienhypertexte"/>
            <w14:scene3d>
              <w14:camera w14:prst="orthographicFront"/>
              <w14:lightRig w14:rig="threePt" w14:dir="t">
                <w14:rot w14:lat="0" w14:lon="0" w14:rev="0"/>
              </w14:lightRig>
            </w14:scene3d>
          </w:rPr>
          <w:t>9.2</w:t>
        </w:r>
        <w:r w:rsidRPr="002838F0">
          <w:rPr>
            <w:rStyle w:val="Lienhypertexte"/>
          </w:rPr>
          <w:t xml:space="preserve"> Résiliation aux torts du titulaire ou cas particuliers</w:t>
        </w:r>
        <w:r>
          <w:rPr>
            <w:webHidden/>
          </w:rPr>
          <w:tab/>
        </w:r>
        <w:r>
          <w:rPr>
            <w:webHidden/>
          </w:rPr>
          <w:fldChar w:fldCharType="begin"/>
        </w:r>
        <w:r>
          <w:rPr>
            <w:webHidden/>
          </w:rPr>
          <w:instrText xml:space="preserve"> PAGEREF _Toc206768633 \h </w:instrText>
        </w:r>
        <w:r>
          <w:rPr>
            <w:webHidden/>
          </w:rPr>
        </w:r>
        <w:r>
          <w:rPr>
            <w:webHidden/>
          </w:rPr>
          <w:fldChar w:fldCharType="separate"/>
        </w:r>
        <w:r>
          <w:rPr>
            <w:webHidden/>
          </w:rPr>
          <w:t>17</w:t>
        </w:r>
        <w:r>
          <w:rPr>
            <w:webHidden/>
          </w:rPr>
          <w:fldChar w:fldCharType="end"/>
        </w:r>
      </w:hyperlink>
    </w:p>
    <w:p w14:paraId="32DDF7B8" w14:textId="580B34BC"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34" w:history="1">
        <w:r w:rsidRPr="002838F0">
          <w:rPr>
            <w:rStyle w:val="Lienhypertexte"/>
            <w:noProof/>
          </w:rPr>
          <w:t>Article 10 : Assurances et garanties</w:t>
        </w:r>
        <w:r>
          <w:rPr>
            <w:noProof/>
            <w:webHidden/>
          </w:rPr>
          <w:tab/>
        </w:r>
        <w:r>
          <w:rPr>
            <w:noProof/>
            <w:webHidden/>
          </w:rPr>
          <w:fldChar w:fldCharType="begin"/>
        </w:r>
        <w:r>
          <w:rPr>
            <w:noProof/>
            <w:webHidden/>
          </w:rPr>
          <w:instrText xml:space="preserve"> PAGEREF _Toc206768634 \h </w:instrText>
        </w:r>
        <w:r>
          <w:rPr>
            <w:noProof/>
            <w:webHidden/>
          </w:rPr>
        </w:r>
        <w:r>
          <w:rPr>
            <w:noProof/>
            <w:webHidden/>
          </w:rPr>
          <w:fldChar w:fldCharType="separate"/>
        </w:r>
        <w:r>
          <w:rPr>
            <w:noProof/>
            <w:webHidden/>
          </w:rPr>
          <w:t>17</w:t>
        </w:r>
        <w:r>
          <w:rPr>
            <w:noProof/>
            <w:webHidden/>
          </w:rPr>
          <w:fldChar w:fldCharType="end"/>
        </w:r>
      </w:hyperlink>
    </w:p>
    <w:p w14:paraId="08750D89" w14:textId="427A4D79" w:rsidR="0015431A" w:rsidRDefault="0015431A">
      <w:pPr>
        <w:pStyle w:val="TM2"/>
        <w:rPr>
          <w:rFonts w:asciiTheme="minorHAnsi" w:eastAsiaTheme="minorEastAsia" w:hAnsiTheme="minorHAnsi"/>
          <w:kern w:val="2"/>
          <w:sz w:val="24"/>
          <w:szCs w:val="24"/>
          <w:lang w:eastAsia="fr-FR"/>
          <w14:ligatures w14:val="standardContextual"/>
        </w:rPr>
      </w:pPr>
      <w:hyperlink w:anchor="_Toc206768635" w:history="1">
        <w:r w:rsidRPr="002838F0">
          <w:rPr>
            <w:rStyle w:val="Lienhypertexte"/>
            <w14:scene3d>
              <w14:camera w14:prst="orthographicFront"/>
              <w14:lightRig w14:rig="threePt" w14:dir="t">
                <w14:rot w14:lat="0" w14:lon="0" w14:rev="0"/>
              </w14:lightRig>
            </w14:scene3d>
          </w:rPr>
          <w:t>10.1</w:t>
        </w:r>
        <w:r w:rsidRPr="002838F0">
          <w:rPr>
            <w:rStyle w:val="Lienhypertexte"/>
          </w:rPr>
          <w:t xml:space="preserve"> Assurances</w:t>
        </w:r>
        <w:r>
          <w:rPr>
            <w:webHidden/>
          </w:rPr>
          <w:tab/>
        </w:r>
        <w:r>
          <w:rPr>
            <w:webHidden/>
          </w:rPr>
          <w:fldChar w:fldCharType="begin"/>
        </w:r>
        <w:r>
          <w:rPr>
            <w:webHidden/>
          </w:rPr>
          <w:instrText xml:space="preserve"> PAGEREF _Toc206768635 \h </w:instrText>
        </w:r>
        <w:r>
          <w:rPr>
            <w:webHidden/>
          </w:rPr>
        </w:r>
        <w:r>
          <w:rPr>
            <w:webHidden/>
          </w:rPr>
          <w:fldChar w:fldCharType="separate"/>
        </w:r>
        <w:r>
          <w:rPr>
            <w:webHidden/>
          </w:rPr>
          <w:t>17</w:t>
        </w:r>
        <w:r>
          <w:rPr>
            <w:webHidden/>
          </w:rPr>
          <w:fldChar w:fldCharType="end"/>
        </w:r>
      </w:hyperlink>
    </w:p>
    <w:p w14:paraId="0D950362" w14:textId="7E040DFC" w:rsidR="0015431A" w:rsidRDefault="0015431A">
      <w:pPr>
        <w:pStyle w:val="TM2"/>
        <w:rPr>
          <w:rFonts w:asciiTheme="minorHAnsi" w:eastAsiaTheme="minorEastAsia" w:hAnsiTheme="minorHAnsi"/>
          <w:kern w:val="2"/>
          <w:sz w:val="24"/>
          <w:szCs w:val="24"/>
          <w:lang w:eastAsia="fr-FR"/>
          <w14:ligatures w14:val="standardContextual"/>
        </w:rPr>
      </w:pPr>
      <w:hyperlink w:anchor="_Toc206768636" w:history="1">
        <w:r w:rsidRPr="002838F0">
          <w:rPr>
            <w:rStyle w:val="Lienhypertexte"/>
            <w14:scene3d>
              <w14:camera w14:prst="orthographicFront"/>
              <w14:lightRig w14:rig="threePt" w14:dir="t">
                <w14:rot w14:lat="0" w14:lon="0" w14:rev="0"/>
              </w14:lightRig>
            </w14:scene3d>
          </w:rPr>
          <w:t>10.2</w:t>
        </w:r>
        <w:r w:rsidRPr="002838F0">
          <w:rPr>
            <w:rStyle w:val="Lienhypertexte"/>
          </w:rPr>
          <w:t xml:space="preserve"> Garanties contractuelles</w:t>
        </w:r>
        <w:r>
          <w:rPr>
            <w:webHidden/>
          </w:rPr>
          <w:tab/>
        </w:r>
        <w:r>
          <w:rPr>
            <w:webHidden/>
          </w:rPr>
          <w:fldChar w:fldCharType="begin"/>
        </w:r>
        <w:r>
          <w:rPr>
            <w:webHidden/>
          </w:rPr>
          <w:instrText xml:space="preserve"> PAGEREF _Toc206768636 \h </w:instrText>
        </w:r>
        <w:r>
          <w:rPr>
            <w:webHidden/>
          </w:rPr>
        </w:r>
        <w:r>
          <w:rPr>
            <w:webHidden/>
          </w:rPr>
          <w:fldChar w:fldCharType="separate"/>
        </w:r>
        <w:r>
          <w:rPr>
            <w:webHidden/>
          </w:rPr>
          <w:t>17</w:t>
        </w:r>
        <w:r>
          <w:rPr>
            <w:webHidden/>
          </w:rPr>
          <w:fldChar w:fldCharType="end"/>
        </w:r>
      </w:hyperlink>
    </w:p>
    <w:p w14:paraId="28AF8C70" w14:textId="282859EE"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37" w:history="1">
        <w:r w:rsidRPr="002838F0">
          <w:rPr>
            <w:rStyle w:val="Lienhypertexte"/>
            <w:noProof/>
          </w:rPr>
          <w:t>Article 11 : Clause environnementale</w:t>
        </w:r>
        <w:r>
          <w:rPr>
            <w:noProof/>
            <w:webHidden/>
          </w:rPr>
          <w:tab/>
        </w:r>
        <w:r>
          <w:rPr>
            <w:noProof/>
            <w:webHidden/>
          </w:rPr>
          <w:fldChar w:fldCharType="begin"/>
        </w:r>
        <w:r>
          <w:rPr>
            <w:noProof/>
            <w:webHidden/>
          </w:rPr>
          <w:instrText xml:space="preserve"> PAGEREF _Toc206768637 \h </w:instrText>
        </w:r>
        <w:r>
          <w:rPr>
            <w:noProof/>
            <w:webHidden/>
          </w:rPr>
        </w:r>
        <w:r>
          <w:rPr>
            <w:noProof/>
            <w:webHidden/>
          </w:rPr>
          <w:fldChar w:fldCharType="separate"/>
        </w:r>
        <w:r>
          <w:rPr>
            <w:noProof/>
            <w:webHidden/>
          </w:rPr>
          <w:t>17</w:t>
        </w:r>
        <w:r>
          <w:rPr>
            <w:noProof/>
            <w:webHidden/>
          </w:rPr>
          <w:fldChar w:fldCharType="end"/>
        </w:r>
      </w:hyperlink>
    </w:p>
    <w:p w14:paraId="71AB6340" w14:textId="633B241D"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38" w:history="1">
        <w:r w:rsidRPr="002838F0">
          <w:rPr>
            <w:rStyle w:val="Lienhypertexte"/>
            <w:noProof/>
          </w:rPr>
          <w:t>Article 12 : Clause RGPD</w:t>
        </w:r>
        <w:r>
          <w:rPr>
            <w:noProof/>
            <w:webHidden/>
          </w:rPr>
          <w:tab/>
        </w:r>
        <w:r>
          <w:rPr>
            <w:noProof/>
            <w:webHidden/>
          </w:rPr>
          <w:fldChar w:fldCharType="begin"/>
        </w:r>
        <w:r>
          <w:rPr>
            <w:noProof/>
            <w:webHidden/>
          </w:rPr>
          <w:instrText xml:space="preserve"> PAGEREF _Toc206768638 \h </w:instrText>
        </w:r>
        <w:r>
          <w:rPr>
            <w:noProof/>
            <w:webHidden/>
          </w:rPr>
        </w:r>
        <w:r>
          <w:rPr>
            <w:noProof/>
            <w:webHidden/>
          </w:rPr>
          <w:fldChar w:fldCharType="separate"/>
        </w:r>
        <w:r>
          <w:rPr>
            <w:noProof/>
            <w:webHidden/>
          </w:rPr>
          <w:t>18</w:t>
        </w:r>
        <w:r>
          <w:rPr>
            <w:noProof/>
            <w:webHidden/>
          </w:rPr>
          <w:fldChar w:fldCharType="end"/>
        </w:r>
      </w:hyperlink>
    </w:p>
    <w:p w14:paraId="570B81CA" w14:textId="710DF166" w:rsidR="0015431A" w:rsidRDefault="0015431A">
      <w:pPr>
        <w:pStyle w:val="TM2"/>
        <w:rPr>
          <w:rFonts w:asciiTheme="minorHAnsi" w:eastAsiaTheme="minorEastAsia" w:hAnsiTheme="minorHAnsi"/>
          <w:kern w:val="2"/>
          <w:sz w:val="24"/>
          <w:szCs w:val="24"/>
          <w:lang w:eastAsia="fr-FR"/>
          <w14:ligatures w14:val="standardContextual"/>
        </w:rPr>
      </w:pPr>
      <w:hyperlink w:anchor="_Toc206768639" w:history="1">
        <w:r w:rsidRPr="002838F0">
          <w:rPr>
            <w:rStyle w:val="Lienhypertexte"/>
            <w14:scene3d>
              <w14:camera w14:prst="orthographicFront"/>
              <w14:lightRig w14:rig="threePt" w14:dir="t">
                <w14:rot w14:lat="0" w14:lon="0" w14:rev="0"/>
              </w14:lightRig>
            </w14:scene3d>
          </w:rPr>
          <w:t>12.1</w:t>
        </w:r>
        <w:r w:rsidRPr="002838F0">
          <w:rPr>
            <w:rStyle w:val="Lienhypertexte"/>
          </w:rPr>
          <w:t xml:space="preserve"> Protection des données à caractère personnel</w:t>
        </w:r>
        <w:r>
          <w:rPr>
            <w:webHidden/>
          </w:rPr>
          <w:tab/>
        </w:r>
        <w:r>
          <w:rPr>
            <w:webHidden/>
          </w:rPr>
          <w:fldChar w:fldCharType="begin"/>
        </w:r>
        <w:r>
          <w:rPr>
            <w:webHidden/>
          </w:rPr>
          <w:instrText xml:space="preserve"> PAGEREF _Toc206768639 \h </w:instrText>
        </w:r>
        <w:r>
          <w:rPr>
            <w:webHidden/>
          </w:rPr>
        </w:r>
        <w:r>
          <w:rPr>
            <w:webHidden/>
          </w:rPr>
          <w:fldChar w:fldCharType="separate"/>
        </w:r>
        <w:r>
          <w:rPr>
            <w:webHidden/>
          </w:rPr>
          <w:t>18</w:t>
        </w:r>
        <w:r>
          <w:rPr>
            <w:webHidden/>
          </w:rPr>
          <w:fldChar w:fldCharType="end"/>
        </w:r>
      </w:hyperlink>
    </w:p>
    <w:p w14:paraId="6F7EFFD1" w14:textId="060F6859" w:rsidR="0015431A" w:rsidRDefault="0015431A">
      <w:pPr>
        <w:pStyle w:val="TM2"/>
        <w:rPr>
          <w:rFonts w:asciiTheme="minorHAnsi" w:eastAsiaTheme="minorEastAsia" w:hAnsiTheme="minorHAnsi"/>
          <w:kern w:val="2"/>
          <w:sz w:val="24"/>
          <w:szCs w:val="24"/>
          <w:lang w:eastAsia="fr-FR"/>
          <w14:ligatures w14:val="standardContextual"/>
        </w:rPr>
      </w:pPr>
      <w:hyperlink w:anchor="_Toc206768640" w:history="1">
        <w:r w:rsidRPr="002838F0">
          <w:rPr>
            <w:rStyle w:val="Lienhypertexte"/>
            <w14:scene3d>
              <w14:camera w14:prst="orthographicFront"/>
              <w14:lightRig w14:rig="threePt" w14:dir="t">
                <w14:rot w14:lat="0" w14:lon="0" w14:rev="0"/>
              </w14:lightRig>
            </w14:scene3d>
          </w:rPr>
          <w:t>12.2</w:t>
        </w:r>
        <w:r w:rsidRPr="002838F0">
          <w:rPr>
            <w:rStyle w:val="Lienhypertexte"/>
          </w:rPr>
          <w:t xml:space="preserve"> Obligations des parties</w:t>
        </w:r>
        <w:r>
          <w:rPr>
            <w:webHidden/>
          </w:rPr>
          <w:tab/>
        </w:r>
        <w:r>
          <w:rPr>
            <w:webHidden/>
          </w:rPr>
          <w:fldChar w:fldCharType="begin"/>
        </w:r>
        <w:r>
          <w:rPr>
            <w:webHidden/>
          </w:rPr>
          <w:instrText xml:space="preserve"> PAGEREF _Toc206768640 \h </w:instrText>
        </w:r>
        <w:r>
          <w:rPr>
            <w:webHidden/>
          </w:rPr>
        </w:r>
        <w:r>
          <w:rPr>
            <w:webHidden/>
          </w:rPr>
          <w:fldChar w:fldCharType="separate"/>
        </w:r>
        <w:r>
          <w:rPr>
            <w:webHidden/>
          </w:rPr>
          <w:t>18</w:t>
        </w:r>
        <w:r>
          <w:rPr>
            <w:webHidden/>
          </w:rPr>
          <w:fldChar w:fldCharType="end"/>
        </w:r>
      </w:hyperlink>
    </w:p>
    <w:p w14:paraId="7628E22B" w14:textId="0936F6A1" w:rsidR="0015431A" w:rsidRDefault="0015431A">
      <w:pPr>
        <w:pStyle w:val="TM2"/>
        <w:rPr>
          <w:rFonts w:asciiTheme="minorHAnsi" w:eastAsiaTheme="minorEastAsia" w:hAnsiTheme="minorHAnsi"/>
          <w:kern w:val="2"/>
          <w:sz w:val="24"/>
          <w:szCs w:val="24"/>
          <w:lang w:eastAsia="fr-FR"/>
          <w14:ligatures w14:val="standardContextual"/>
        </w:rPr>
      </w:pPr>
      <w:hyperlink w:anchor="_Toc206768641" w:history="1">
        <w:r w:rsidRPr="002838F0">
          <w:rPr>
            <w:rStyle w:val="Lienhypertexte"/>
            <w14:scene3d>
              <w14:camera w14:prst="orthographicFront"/>
              <w14:lightRig w14:rig="threePt" w14:dir="t">
                <w14:rot w14:lat="0" w14:lon="0" w14:rev="0"/>
              </w14:lightRig>
            </w14:scene3d>
          </w:rPr>
          <w:t>12.3</w:t>
        </w:r>
        <w:r w:rsidRPr="002838F0">
          <w:rPr>
            <w:rStyle w:val="Lienhypertexte"/>
          </w:rPr>
          <w:t xml:space="preserve"> Obligations du sous-traitant</w:t>
        </w:r>
        <w:r>
          <w:rPr>
            <w:webHidden/>
          </w:rPr>
          <w:tab/>
        </w:r>
        <w:r>
          <w:rPr>
            <w:webHidden/>
          </w:rPr>
          <w:fldChar w:fldCharType="begin"/>
        </w:r>
        <w:r>
          <w:rPr>
            <w:webHidden/>
          </w:rPr>
          <w:instrText xml:space="preserve"> PAGEREF _Toc206768641 \h </w:instrText>
        </w:r>
        <w:r>
          <w:rPr>
            <w:webHidden/>
          </w:rPr>
        </w:r>
        <w:r>
          <w:rPr>
            <w:webHidden/>
          </w:rPr>
          <w:fldChar w:fldCharType="separate"/>
        </w:r>
        <w:r>
          <w:rPr>
            <w:webHidden/>
          </w:rPr>
          <w:t>18</w:t>
        </w:r>
        <w:r>
          <w:rPr>
            <w:webHidden/>
          </w:rPr>
          <w:fldChar w:fldCharType="end"/>
        </w:r>
      </w:hyperlink>
    </w:p>
    <w:p w14:paraId="19798588" w14:textId="46289F3E"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42" w:history="1">
        <w:r w:rsidRPr="002838F0">
          <w:rPr>
            <w:rStyle w:val="Lienhypertexte"/>
            <w:noProof/>
          </w:rPr>
          <w:t>Article 13 : Dispositif de vigilance (article D 8222-5 du code du travail)</w:t>
        </w:r>
        <w:r>
          <w:rPr>
            <w:noProof/>
            <w:webHidden/>
          </w:rPr>
          <w:tab/>
        </w:r>
        <w:r>
          <w:rPr>
            <w:noProof/>
            <w:webHidden/>
          </w:rPr>
          <w:fldChar w:fldCharType="begin"/>
        </w:r>
        <w:r>
          <w:rPr>
            <w:noProof/>
            <w:webHidden/>
          </w:rPr>
          <w:instrText xml:space="preserve"> PAGEREF _Toc206768642 \h </w:instrText>
        </w:r>
        <w:r>
          <w:rPr>
            <w:noProof/>
            <w:webHidden/>
          </w:rPr>
        </w:r>
        <w:r>
          <w:rPr>
            <w:noProof/>
            <w:webHidden/>
          </w:rPr>
          <w:fldChar w:fldCharType="separate"/>
        </w:r>
        <w:r>
          <w:rPr>
            <w:noProof/>
            <w:webHidden/>
          </w:rPr>
          <w:t>20</w:t>
        </w:r>
        <w:r>
          <w:rPr>
            <w:noProof/>
            <w:webHidden/>
          </w:rPr>
          <w:fldChar w:fldCharType="end"/>
        </w:r>
      </w:hyperlink>
    </w:p>
    <w:p w14:paraId="66047A43" w14:textId="6F725034"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43" w:history="1">
        <w:r w:rsidRPr="002838F0">
          <w:rPr>
            <w:rStyle w:val="Lienhypertexte"/>
            <w:noProof/>
          </w:rPr>
          <w:t>Article 14 : Règlement des différents</w:t>
        </w:r>
        <w:r>
          <w:rPr>
            <w:noProof/>
            <w:webHidden/>
          </w:rPr>
          <w:tab/>
        </w:r>
        <w:r>
          <w:rPr>
            <w:noProof/>
            <w:webHidden/>
          </w:rPr>
          <w:fldChar w:fldCharType="begin"/>
        </w:r>
        <w:r>
          <w:rPr>
            <w:noProof/>
            <w:webHidden/>
          </w:rPr>
          <w:instrText xml:space="preserve"> PAGEREF _Toc206768643 \h </w:instrText>
        </w:r>
        <w:r>
          <w:rPr>
            <w:noProof/>
            <w:webHidden/>
          </w:rPr>
        </w:r>
        <w:r>
          <w:rPr>
            <w:noProof/>
            <w:webHidden/>
          </w:rPr>
          <w:fldChar w:fldCharType="separate"/>
        </w:r>
        <w:r>
          <w:rPr>
            <w:noProof/>
            <w:webHidden/>
          </w:rPr>
          <w:t>20</w:t>
        </w:r>
        <w:r>
          <w:rPr>
            <w:noProof/>
            <w:webHidden/>
          </w:rPr>
          <w:fldChar w:fldCharType="end"/>
        </w:r>
      </w:hyperlink>
    </w:p>
    <w:p w14:paraId="54D33D99" w14:textId="1E29528A" w:rsidR="0015431A" w:rsidRDefault="0015431A">
      <w:pPr>
        <w:pStyle w:val="TM1"/>
        <w:rPr>
          <w:rFonts w:asciiTheme="minorHAnsi" w:eastAsiaTheme="minorEastAsia" w:hAnsiTheme="minorHAnsi"/>
          <w:noProof/>
          <w:kern w:val="2"/>
          <w:sz w:val="24"/>
          <w:szCs w:val="24"/>
          <w:lang w:eastAsia="fr-FR"/>
          <w14:ligatures w14:val="standardContextual"/>
        </w:rPr>
      </w:pPr>
      <w:hyperlink w:anchor="_Toc206768644" w:history="1">
        <w:r w:rsidRPr="002838F0">
          <w:rPr>
            <w:rStyle w:val="Lienhypertexte"/>
            <w:noProof/>
          </w:rPr>
          <w:t>Article 15 : Dérogations au CCAG-Travaux</w:t>
        </w:r>
        <w:r>
          <w:rPr>
            <w:noProof/>
            <w:webHidden/>
          </w:rPr>
          <w:tab/>
        </w:r>
        <w:r>
          <w:rPr>
            <w:noProof/>
            <w:webHidden/>
          </w:rPr>
          <w:fldChar w:fldCharType="begin"/>
        </w:r>
        <w:r>
          <w:rPr>
            <w:noProof/>
            <w:webHidden/>
          </w:rPr>
          <w:instrText xml:space="preserve"> PAGEREF _Toc206768644 \h </w:instrText>
        </w:r>
        <w:r>
          <w:rPr>
            <w:noProof/>
            <w:webHidden/>
          </w:rPr>
        </w:r>
        <w:r>
          <w:rPr>
            <w:noProof/>
            <w:webHidden/>
          </w:rPr>
          <w:fldChar w:fldCharType="separate"/>
        </w:r>
        <w:r>
          <w:rPr>
            <w:noProof/>
            <w:webHidden/>
          </w:rPr>
          <w:t>20</w:t>
        </w:r>
        <w:r>
          <w:rPr>
            <w:noProof/>
            <w:webHidden/>
          </w:rPr>
          <w:fldChar w:fldCharType="end"/>
        </w:r>
      </w:hyperlink>
    </w:p>
    <w:p w14:paraId="5BBAB8D7" w14:textId="46EEE794" w:rsidR="0076684F" w:rsidRPr="00AB3B09" w:rsidRDefault="0076684F" w:rsidP="0076684F">
      <w:pPr>
        <w:rPr>
          <w:rFonts w:cs="Arial"/>
          <w:sz w:val="22"/>
        </w:rPr>
      </w:pPr>
      <w:r w:rsidRPr="00AB3B09">
        <w:fldChar w:fldCharType="end"/>
      </w:r>
    </w:p>
    <w:p w14:paraId="2551FFD3" w14:textId="77777777" w:rsidR="0076684F" w:rsidRPr="00AB3B09" w:rsidRDefault="0076684F" w:rsidP="0076684F">
      <w:pPr>
        <w:rPr>
          <w:rFonts w:cs="Arial"/>
          <w:sz w:val="22"/>
        </w:rPr>
      </w:pPr>
    </w:p>
    <w:p w14:paraId="55D014D2" w14:textId="77777777" w:rsidR="0076684F" w:rsidRPr="00AB3B09" w:rsidRDefault="0076684F" w:rsidP="0076684F">
      <w:pPr>
        <w:rPr>
          <w:rFonts w:cs="Arial"/>
          <w:sz w:val="22"/>
        </w:rPr>
      </w:pPr>
    </w:p>
    <w:p w14:paraId="2ABBADF5" w14:textId="77777777" w:rsidR="0076684F" w:rsidRPr="00AB3B09" w:rsidRDefault="0076684F" w:rsidP="0076684F">
      <w:pPr>
        <w:rPr>
          <w:rFonts w:cs="Arial"/>
          <w:sz w:val="22"/>
        </w:rPr>
      </w:pPr>
    </w:p>
    <w:p w14:paraId="7D0D5888" w14:textId="77777777" w:rsidR="0076684F" w:rsidRPr="00AB3B09" w:rsidRDefault="0076684F" w:rsidP="0076684F">
      <w:pPr>
        <w:rPr>
          <w:rFonts w:cs="Arial"/>
          <w:sz w:val="22"/>
        </w:rPr>
      </w:pPr>
    </w:p>
    <w:p w14:paraId="040A5305" w14:textId="77777777" w:rsidR="0076684F" w:rsidRPr="00AB3B09" w:rsidRDefault="0076684F" w:rsidP="0076684F">
      <w:pPr>
        <w:rPr>
          <w:rFonts w:cs="Arial"/>
          <w:sz w:val="22"/>
        </w:rPr>
      </w:pPr>
    </w:p>
    <w:p w14:paraId="1B1F92CD" w14:textId="77777777" w:rsidR="0076684F" w:rsidRPr="00AB3B09" w:rsidRDefault="0076684F" w:rsidP="0076684F">
      <w:pPr>
        <w:rPr>
          <w:rFonts w:cs="Arial"/>
          <w:sz w:val="22"/>
        </w:rPr>
      </w:pPr>
    </w:p>
    <w:p w14:paraId="0CD7A4A0" w14:textId="24226F10" w:rsidR="0076684F" w:rsidRPr="00AB3B09" w:rsidRDefault="0076684F" w:rsidP="00436E4A">
      <w:pPr>
        <w:pStyle w:val="Corpsdetexte"/>
        <w:tabs>
          <w:tab w:val="left" w:pos="2880"/>
        </w:tabs>
      </w:pPr>
    </w:p>
    <w:p w14:paraId="47D354C8" w14:textId="77777777" w:rsidR="0076684F" w:rsidRPr="00AB3B09" w:rsidRDefault="0076684F" w:rsidP="00C457BD">
      <w:pPr>
        <w:pStyle w:val="Titre1"/>
      </w:pPr>
      <w:bookmarkStart w:id="1" w:name="_Toc212282881"/>
      <w:bookmarkStart w:id="2" w:name="_Toc55832396"/>
      <w:bookmarkStart w:id="3" w:name="_Toc55833389"/>
      <w:bookmarkStart w:id="4" w:name="_Toc62633059"/>
      <w:bookmarkStart w:id="5" w:name="_Toc206768578"/>
      <w:r w:rsidRPr="00AB3B09">
        <w:t>Objet du marché - Dispositions générales</w:t>
      </w:r>
      <w:bookmarkEnd w:id="1"/>
      <w:bookmarkEnd w:id="2"/>
      <w:bookmarkEnd w:id="3"/>
      <w:bookmarkEnd w:id="4"/>
      <w:bookmarkEnd w:id="5"/>
    </w:p>
    <w:p w14:paraId="11686183" w14:textId="77777777" w:rsidR="0076684F" w:rsidRPr="00AB3B09" w:rsidRDefault="0076684F" w:rsidP="00C75F24">
      <w:pPr>
        <w:pStyle w:val="Titre2"/>
      </w:pPr>
      <w:bookmarkStart w:id="6" w:name="_Toc212282882"/>
      <w:bookmarkStart w:id="7" w:name="_Toc55832397"/>
      <w:bookmarkStart w:id="8" w:name="_Toc55833390"/>
      <w:bookmarkStart w:id="9" w:name="_Toc62633060"/>
      <w:bookmarkStart w:id="10" w:name="_Toc206768579"/>
      <w:r w:rsidRPr="00AB3B09">
        <w:t>Objet du marché</w:t>
      </w:r>
      <w:bookmarkEnd w:id="6"/>
      <w:bookmarkEnd w:id="7"/>
      <w:bookmarkEnd w:id="8"/>
      <w:bookmarkEnd w:id="9"/>
      <w:bookmarkEnd w:id="10"/>
    </w:p>
    <w:p w14:paraId="6C71A4CC" w14:textId="4FC84BB4" w:rsidR="0076684F" w:rsidRPr="00AB3B09" w:rsidRDefault="0076684F" w:rsidP="0076684F">
      <w:r w:rsidRPr="00AB3B09">
        <w:t xml:space="preserve">Le présent marché a pour objet </w:t>
      </w:r>
      <w:r w:rsidR="00075F1D" w:rsidRPr="00AB3B09">
        <w:t xml:space="preserve">le </w:t>
      </w:r>
      <w:r w:rsidR="00D207D7" w:rsidRPr="00D207D7">
        <w:rPr>
          <w:iCs/>
        </w:rPr>
        <w:t>remplacement de systèmes intrusion et alarmes techniques de 4 bâtiments et remplacement des alarmes techniques d’1 bâtiment</w:t>
      </w:r>
      <w:r w:rsidR="00D207D7">
        <w:rPr>
          <w:iCs/>
        </w:rPr>
        <w:t xml:space="preserve"> </w:t>
      </w:r>
      <w:r w:rsidR="00D207D7" w:rsidRPr="00AB3B09">
        <w:t>de</w:t>
      </w:r>
      <w:r w:rsidR="00075F1D" w:rsidRPr="00AB3B09">
        <w:t xml:space="preserve"> la délégation régionale Auvergne Rhône-Alpes. </w:t>
      </w:r>
    </w:p>
    <w:p w14:paraId="5ECC0784" w14:textId="1E58206D" w:rsidR="0076684F" w:rsidRPr="00AB3B09" w:rsidRDefault="0076684F" w:rsidP="0076684F">
      <w:r w:rsidRPr="00AB3B09">
        <w:t>La description des travaux et leurs spécifications techniques sont indiquées dans les cahiers des clauses techniques particulières (CCTP).</w:t>
      </w:r>
    </w:p>
    <w:p w14:paraId="30934C1C" w14:textId="627F7E89" w:rsidR="007916FA" w:rsidRDefault="0F107A6D" w:rsidP="0076684F">
      <w:r w:rsidRPr="00AB3B09">
        <w:t>Les travaux se dérouleront en site occupé.</w:t>
      </w:r>
    </w:p>
    <w:p w14:paraId="50264BA6" w14:textId="77777777" w:rsidR="00647DD3" w:rsidRPr="00AB3B09" w:rsidRDefault="00647DD3" w:rsidP="0076684F"/>
    <w:p w14:paraId="088C8A6C" w14:textId="311B01FC" w:rsidR="00187E47" w:rsidRPr="00AB3B09" w:rsidRDefault="001038D5" w:rsidP="00C75F24">
      <w:pPr>
        <w:pStyle w:val="Titre2"/>
      </w:pPr>
      <w:bookmarkStart w:id="11" w:name="_Toc206768580"/>
      <w:r w:rsidRPr="00AB3B09">
        <w:t>Forme et structure du marché</w:t>
      </w:r>
      <w:bookmarkEnd w:id="11"/>
      <w:r w:rsidRPr="00AB3B09" w:rsidDel="001038D5">
        <w:t xml:space="preserve"> </w:t>
      </w:r>
      <w:r w:rsidRPr="00AB3B09">
        <w:t xml:space="preserve"> </w:t>
      </w:r>
    </w:p>
    <w:p w14:paraId="22A5581C" w14:textId="47007837" w:rsidR="007E30AA" w:rsidRPr="00AB3B09" w:rsidRDefault="007E30AA" w:rsidP="0052665B">
      <w:pPr>
        <w:pStyle w:val="Titre3"/>
      </w:pPr>
      <w:bookmarkStart w:id="12" w:name="_Toc206768581"/>
      <w:r w:rsidRPr="00AB3B09">
        <w:t>Forme du marché</w:t>
      </w:r>
      <w:bookmarkEnd w:id="12"/>
    </w:p>
    <w:p w14:paraId="07B44C0E" w14:textId="0AE5DE28" w:rsidR="007E30AA" w:rsidRPr="00AB3B09" w:rsidRDefault="007E30AA" w:rsidP="0076684F">
      <w:r w:rsidRPr="00AB3B09">
        <w:t>Le marché est un marché de travaux ordinaire à prix global et forfaitaire</w:t>
      </w:r>
      <w:r w:rsidR="169AB5BC" w:rsidRPr="00AB3B09">
        <w:t>.</w:t>
      </w:r>
      <w:r w:rsidRPr="00AB3B09">
        <w:t xml:space="preserve"> </w:t>
      </w:r>
    </w:p>
    <w:p w14:paraId="31CBF4D1" w14:textId="74449FD3" w:rsidR="007E30AA" w:rsidRPr="00AB3B09" w:rsidRDefault="007E30AA" w:rsidP="0052665B">
      <w:pPr>
        <w:pStyle w:val="Titre3"/>
      </w:pPr>
      <w:bookmarkStart w:id="13" w:name="_Toc206768582"/>
      <w:r w:rsidRPr="00AB3B09">
        <w:t>Répartition par lots</w:t>
      </w:r>
      <w:bookmarkEnd w:id="13"/>
    </w:p>
    <w:p w14:paraId="37860CC1" w14:textId="6119B1EE" w:rsidR="00E93E81" w:rsidRPr="00AB3B09" w:rsidRDefault="001038D5" w:rsidP="0076684F">
      <w:r w:rsidRPr="003038A7">
        <w:t>Le marché n’est pas décomposé en lots.</w:t>
      </w:r>
    </w:p>
    <w:p w14:paraId="7A875E4C" w14:textId="15DC152E" w:rsidR="007815F6" w:rsidRPr="00AB3B09" w:rsidRDefault="007815F6" w:rsidP="0076684F"/>
    <w:p w14:paraId="0BAB8546" w14:textId="4065CBBA" w:rsidR="625611E2" w:rsidRPr="00AB3B09" w:rsidRDefault="625611E2" w:rsidP="00C75F24">
      <w:pPr>
        <w:pStyle w:val="Titre2"/>
        <w:rPr>
          <w:color w:val="000000" w:themeColor="text1"/>
        </w:rPr>
      </w:pPr>
      <w:bookmarkStart w:id="14" w:name="_Toc206768583"/>
      <w:r w:rsidRPr="00AB3B09">
        <w:t>Marché de prestation</w:t>
      </w:r>
      <w:r w:rsidR="447C9A28" w:rsidRPr="00AB3B09">
        <w:t>s similaires</w:t>
      </w:r>
      <w:bookmarkEnd w:id="14"/>
    </w:p>
    <w:p w14:paraId="2800FA00" w14:textId="49A463A7" w:rsidR="6CCACB18" w:rsidRPr="00D207D7" w:rsidRDefault="2BCCC4CC" w:rsidP="00D207D7">
      <w:r w:rsidRPr="00AB3B09">
        <w:t>En application de l’article R</w:t>
      </w:r>
      <w:r w:rsidR="29EFC855" w:rsidRPr="00AB3B09">
        <w:t>.</w:t>
      </w:r>
      <w:r w:rsidRPr="00AB3B09">
        <w:t>2122-7 du code de la commande publique l’Inserm peut recourir à la procédure de marché négocié sans publicité ni mise en concurrence en confiant au titulaire du marché de travaux la réalisation de prestations similaires. La durée pendant laquelle les nouveaux marchés peuvent être conclus ne peut dépasser trois ans à compter de la notification du marché initial.</w:t>
      </w:r>
    </w:p>
    <w:p w14:paraId="4170BDBC" w14:textId="77777777" w:rsidR="0076684F" w:rsidRPr="00AB3B09" w:rsidRDefault="0076684F" w:rsidP="00C75F24">
      <w:pPr>
        <w:pStyle w:val="Titre2"/>
      </w:pPr>
      <w:bookmarkStart w:id="15" w:name="_Toc62633069"/>
      <w:bookmarkStart w:id="16" w:name="_Toc206768584"/>
      <w:r w:rsidRPr="00AB3B09">
        <w:t>Durée du marché</w:t>
      </w:r>
      <w:bookmarkEnd w:id="15"/>
      <w:bookmarkEnd w:id="16"/>
    </w:p>
    <w:p w14:paraId="1D2BA313" w14:textId="1834C7B1" w:rsidR="0076684F" w:rsidRPr="00AB3B09" w:rsidRDefault="0076684F" w:rsidP="1FED48E3">
      <w:pPr>
        <w:rPr>
          <w:rFonts w:eastAsia="Arial" w:cs="Arial"/>
        </w:rPr>
      </w:pPr>
      <w:r w:rsidRPr="00AB3B09">
        <w:rPr>
          <w:rFonts w:eastAsia="Arial" w:cs="Arial"/>
        </w:rPr>
        <w:t xml:space="preserve">Le marché </w:t>
      </w:r>
      <w:bookmarkStart w:id="17" w:name="_Toc212282886"/>
      <w:r w:rsidR="160E1B4C" w:rsidRPr="00AB3B09">
        <w:rPr>
          <w:rFonts w:eastAsia="Arial" w:cs="Arial"/>
        </w:rPr>
        <w:t>prend effet</w:t>
      </w:r>
      <w:r w:rsidR="001E4DD7" w:rsidRPr="00AB3B09">
        <w:rPr>
          <w:rFonts w:eastAsia="Arial" w:cs="Arial"/>
        </w:rPr>
        <w:t xml:space="preserve"> à compter de sa date de notification jusqu’au parfait achèvement des prestations. </w:t>
      </w:r>
      <w:r w:rsidR="0AA6BFBB" w:rsidRPr="00AB3B09">
        <w:rPr>
          <w:rFonts w:eastAsia="Arial" w:cs="Arial"/>
        </w:rPr>
        <w:t>Les prestations débutent à compter de la transmission d</w:t>
      </w:r>
      <w:r w:rsidR="2AF6E02F" w:rsidRPr="00AB3B09">
        <w:rPr>
          <w:rFonts w:eastAsia="Arial" w:cs="Arial"/>
        </w:rPr>
        <w:t xml:space="preserve">’un </w:t>
      </w:r>
      <w:r w:rsidR="0AA6BFBB" w:rsidRPr="00AB3B09">
        <w:rPr>
          <w:rFonts w:eastAsia="Arial" w:cs="Arial"/>
        </w:rPr>
        <w:t>ordre de service.</w:t>
      </w:r>
    </w:p>
    <w:p w14:paraId="58794E13" w14:textId="65629079" w:rsidR="000032FA" w:rsidRDefault="000032FA" w:rsidP="000032FA">
      <w:pPr>
        <w:pStyle w:val="Normal1"/>
        <w:rPr>
          <w:b/>
          <w:color w:val="FF0000"/>
          <w:sz w:val="24"/>
          <w:szCs w:val="24"/>
        </w:rPr>
      </w:pPr>
      <w:r>
        <w:rPr>
          <w:b/>
        </w:rPr>
        <w:t xml:space="preserve">Le délai d’exécution des travaux est de </w:t>
      </w:r>
      <w:r w:rsidR="0023322C">
        <w:rPr>
          <w:b/>
        </w:rPr>
        <w:t>23 semaines</w:t>
      </w:r>
      <w:r>
        <w:rPr>
          <w:b/>
        </w:rPr>
        <w:t xml:space="preserve">, y compris </w:t>
      </w:r>
      <w:r w:rsidR="0023322C">
        <w:rPr>
          <w:b/>
        </w:rPr>
        <w:t>quatre</w:t>
      </w:r>
      <w:r>
        <w:rPr>
          <w:b/>
        </w:rPr>
        <w:t xml:space="preserve"> (</w:t>
      </w:r>
      <w:r w:rsidR="0023322C">
        <w:rPr>
          <w:b/>
        </w:rPr>
        <w:t>4</w:t>
      </w:r>
      <w:r>
        <w:rPr>
          <w:b/>
        </w:rPr>
        <w:t>) s</w:t>
      </w:r>
      <w:r w:rsidR="0023322C">
        <w:rPr>
          <w:b/>
        </w:rPr>
        <w:t>emaines</w:t>
      </w:r>
      <w:r>
        <w:rPr>
          <w:b/>
        </w:rPr>
        <w:t xml:space="preserve"> de préparation</w:t>
      </w:r>
      <w:r>
        <w:rPr>
          <w:b/>
          <w:sz w:val="24"/>
          <w:szCs w:val="24"/>
        </w:rPr>
        <w:t>.</w:t>
      </w:r>
      <w:r>
        <w:rPr>
          <w:b/>
          <w:color w:val="FF0000"/>
          <w:sz w:val="24"/>
          <w:szCs w:val="24"/>
        </w:rPr>
        <w:t xml:space="preserve"> </w:t>
      </w:r>
    </w:p>
    <w:p w14:paraId="699BCF19" w14:textId="77777777" w:rsidR="009C206C" w:rsidRPr="00AB3B09" w:rsidRDefault="009C206C" w:rsidP="0076684F">
      <w:pPr>
        <w:rPr>
          <w:rFonts w:eastAsia="Arial" w:cs="Arial"/>
          <w:szCs w:val="20"/>
        </w:rPr>
      </w:pPr>
    </w:p>
    <w:p w14:paraId="670825BC" w14:textId="423D383A" w:rsidR="007916FA" w:rsidRPr="00AB3B09" w:rsidRDefault="000E3E94" w:rsidP="00C75F24">
      <w:pPr>
        <w:pStyle w:val="Titre2"/>
      </w:pPr>
      <w:bookmarkStart w:id="18" w:name="_Toc206768585"/>
      <w:r w:rsidRPr="00AB3B09">
        <w:t>Lieu d’exécution</w:t>
      </w:r>
      <w:bookmarkEnd w:id="18"/>
    </w:p>
    <w:p w14:paraId="1E2C13A7" w14:textId="76661A65" w:rsidR="000E3E94" w:rsidRPr="00AB3B09" w:rsidRDefault="000E3E94" w:rsidP="000E3E94">
      <w:pPr>
        <w:rPr>
          <w:rStyle w:val="Textedelespacerserv"/>
          <w:color w:val="auto"/>
        </w:rPr>
      </w:pPr>
      <w:r w:rsidRPr="00AB3B09">
        <w:t>Les travaux sero</w:t>
      </w:r>
      <w:r w:rsidR="00E1409E" w:rsidRPr="00AB3B09">
        <w:t xml:space="preserve">nt exécutés aux adresses </w:t>
      </w:r>
      <w:r w:rsidRPr="00AB3B09">
        <w:t>suivant</w:t>
      </w:r>
      <w:r w:rsidR="00E1409E" w:rsidRPr="00AB3B09">
        <w:t>es</w:t>
      </w:r>
      <w:r w:rsidRPr="00AB3B09">
        <w:t> </w:t>
      </w:r>
      <w:r w:rsidRPr="00AB3B09">
        <w:rPr>
          <w:rStyle w:val="Textedelespacerserv"/>
          <w:color w:val="auto"/>
        </w:rPr>
        <w:t>:</w:t>
      </w:r>
    </w:p>
    <w:p w14:paraId="0061BF7F" w14:textId="77777777" w:rsidR="00E1409E" w:rsidRPr="00AB3B09" w:rsidRDefault="00E1409E" w:rsidP="00E1409E">
      <w:pPr>
        <w:numPr>
          <w:ilvl w:val="0"/>
          <w:numId w:val="35"/>
        </w:numPr>
      </w:pPr>
      <w:r w:rsidRPr="00AB3B09">
        <w:t>Bâtiment Le Vinatier 95 Boulevard Pinel 69500 BRON</w:t>
      </w:r>
    </w:p>
    <w:p w14:paraId="40FC237C" w14:textId="77777777" w:rsidR="00E1409E" w:rsidRPr="00AB3B09" w:rsidRDefault="00E1409E" w:rsidP="00E1409E">
      <w:pPr>
        <w:numPr>
          <w:ilvl w:val="0"/>
          <w:numId w:val="35"/>
        </w:numPr>
      </w:pPr>
      <w:r w:rsidRPr="00AB3B09">
        <w:t>Bron 1 : 18, avenue du Doyen Lépine, 69500 BRON</w:t>
      </w:r>
    </w:p>
    <w:p w14:paraId="23EA164E" w14:textId="77777777" w:rsidR="00E1409E" w:rsidRPr="00AB3B09" w:rsidRDefault="00E1409E" w:rsidP="00E1409E">
      <w:pPr>
        <w:numPr>
          <w:ilvl w:val="0"/>
          <w:numId w:val="35"/>
        </w:numPr>
      </w:pPr>
      <w:r w:rsidRPr="00AB3B09">
        <w:t>Bron 2 : 16, avenue du Doyen Lépine, 69500 BRON</w:t>
      </w:r>
    </w:p>
    <w:p w14:paraId="6666706C" w14:textId="77777777" w:rsidR="00E1409E" w:rsidRPr="00AB3B09" w:rsidRDefault="00E1409E" w:rsidP="00E1409E">
      <w:pPr>
        <w:numPr>
          <w:ilvl w:val="0"/>
          <w:numId w:val="35"/>
        </w:numPr>
      </w:pPr>
      <w:r w:rsidRPr="00AB3B09">
        <w:t>Bâtiment primage : 20 avenue du Doyen Lépine, 69500 BRON</w:t>
      </w:r>
    </w:p>
    <w:p w14:paraId="02F3C105" w14:textId="0C72B91D" w:rsidR="00E1409E" w:rsidRPr="00AB3B09" w:rsidRDefault="00E1409E" w:rsidP="00E1409E">
      <w:pPr>
        <w:numPr>
          <w:ilvl w:val="0"/>
          <w:numId w:val="35"/>
        </w:numPr>
      </w:pPr>
      <w:r w:rsidRPr="00AB3B09">
        <w:t>Bâtiment Cours Albert Thomas : 151 Cours Albert Thomas 69003 Lyon.</w:t>
      </w:r>
    </w:p>
    <w:p w14:paraId="7DFB60F3" w14:textId="77777777" w:rsidR="000E3E94" w:rsidRPr="00AB3B09" w:rsidRDefault="000E3E94" w:rsidP="000E3E94">
      <w:pPr>
        <w:rPr>
          <w:rStyle w:val="Textedelespacerserv"/>
          <w:color w:val="auto"/>
        </w:rPr>
      </w:pPr>
      <w:r w:rsidRPr="00AB3B09">
        <w:rPr>
          <w:rStyle w:val="Textedelespacerserv"/>
          <w:color w:val="auto"/>
        </w:rPr>
        <w:t xml:space="preserve">Jours de la semaine et plages horaires retenus pour l’exécution des travaux : </w:t>
      </w:r>
    </w:p>
    <w:p w14:paraId="3FD90C41" w14:textId="03DCF5B0" w:rsidR="6CCACB18" w:rsidRDefault="00647DD3" w:rsidP="6CCACB18">
      <w:r>
        <w:rPr>
          <w:rStyle w:val="Textedelespacerserv"/>
          <w:color w:val="auto"/>
        </w:rPr>
        <w:t>Du lundi au vendredi de 8h à 17h30.</w:t>
      </w:r>
    </w:p>
    <w:p w14:paraId="3689FA31" w14:textId="77777777" w:rsidR="00D207D7" w:rsidRPr="00D207D7" w:rsidRDefault="00D207D7" w:rsidP="6CCACB18">
      <w:pPr>
        <w:rPr>
          <w:rStyle w:val="Textedelespacerserv"/>
          <w:color w:val="auto"/>
        </w:rPr>
      </w:pPr>
    </w:p>
    <w:p w14:paraId="51A503E0" w14:textId="13AC5728" w:rsidR="000E3E94" w:rsidRPr="00AB3B09" w:rsidRDefault="000E3E94" w:rsidP="00C75F24">
      <w:pPr>
        <w:pStyle w:val="Titre2"/>
      </w:pPr>
      <w:bookmarkStart w:id="19" w:name="_Toc206768586"/>
      <w:r w:rsidRPr="00AB3B09">
        <w:t>Sous-traitance</w:t>
      </w:r>
      <w:bookmarkEnd w:id="19"/>
    </w:p>
    <w:p w14:paraId="42928523" w14:textId="6EE69BFB" w:rsidR="000E3E94" w:rsidRPr="00AB3B09" w:rsidRDefault="000E3E94" w:rsidP="000E3E94">
      <w:pPr>
        <w:rPr>
          <w:rFonts w:eastAsia="Arial" w:cs="Arial"/>
          <w:szCs w:val="20"/>
        </w:rPr>
      </w:pPr>
      <w:r w:rsidRPr="00AB3B09">
        <w:rPr>
          <w:rFonts w:eastAsia="Arial" w:cs="Arial"/>
          <w:szCs w:val="20"/>
        </w:rPr>
        <w:t>Le titulaire peut sous-traiter l'exécution de certaines parties de son marché, sous réserve de l'acceptation du ou des sous-traitants par le maître de l'ouvrage et de l'agrément par lui des conditions de paiement de chaque sous-traitant.</w:t>
      </w:r>
    </w:p>
    <w:p w14:paraId="32177AC6" w14:textId="1B8CB4E8" w:rsidR="0019553F" w:rsidRPr="00AB3B09" w:rsidRDefault="0019553F" w:rsidP="0019553F">
      <w:pPr>
        <w:rPr>
          <w:rFonts w:eastAsia="Arial" w:cs="Arial"/>
          <w:szCs w:val="20"/>
        </w:rPr>
      </w:pPr>
      <w:r w:rsidRPr="00AB3B09">
        <w:rPr>
          <w:rFonts w:eastAsia="Arial" w:cs="Arial"/>
          <w:szCs w:val="20"/>
        </w:rPr>
        <w:t xml:space="preserve">Le titulaire remet à l'acheteur une déclaration de sous-traitance (formulaire DC4 téléchargeable sur </w:t>
      </w:r>
      <w:hyperlink r:id="rId14" w:history="1">
        <w:r w:rsidR="007E3950" w:rsidRPr="000964F5">
          <w:rPr>
            <w:rStyle w:val="Lienhypertexte"/>
            <w:rFonts w:eastAsia="Arial" w:cs="Arial"/>
            <w:szCs w:val="20"/>
          </w:rPr>
          <w:t>https://www.economie.gouv.fr/daj/formulaires-declaration-du-candidat</w:t>
        </w:r>
      </w:hyperlink>
      <w:r w:rsidR="007E3950">
        <w:rPr>
          <w:rFonts w:eastAsia="Arial" w:cs="Arial"/>
          <w:szCs w:val="20"/>
        </w:rPr>
        <w:t>)</w:t>
      </w:r>
      <w:r w:rsidRPr="00AB3B09">
        <w:rPr>
          <w:rFonts w:eastAsia="Arial" w:cs="Arial"/>
          <w:szCs w:val="20"/>
        </w:rPr>
        <w:t xml:space="preserve">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49CDBFB7" w14:textId="77777777" w:rsidR="0019553F" w:rsidRPr="00AB3B09" w:rsidRDefault="0019553F" w:rsidP="0019553F">
      <w:pPr>
        <w:rPr>
          <w:rFonts w:eastAsia="Arial" w:cs="Arial"/>
          <w:szCs w:val="20"/>
        </w:rPr>
      </w:pPr>
      <w:r w:rsidRPr="00AB3B09">
        <w:rPr>
          <w:rFonts w:eastAsia="Arial" w:cs="Arial"/>
          <w:szCs w:val="20"/>
        </w:rPr>
        <w:t>Le sous-traitant à droit au paiement direct si le montant sous-traité est supérieur à 600 euros TTC.</w:t>
      </w:r>
    </w:p>
    <w:p w14:paraId="1FFAF142" w14:textId="7540BBC0" w:rsidR="0019553F" w:rsidRPr="00AB3B09" w:rsidRDefault="0019553F" w:rsidP="0019553F">
      <w:pPr>
        <w:rPr>
          <w:rFonts w:eastAsia="Arial" w:cs="Arial"/>
          <w:szCs w:val="20"/>
        </w:rPr>
      </w:pPr>
      <w:r w:rsidRPr="00AB3B09">
        <w:rPr>
          <w:rFonts w:eastAsia="Arial" w:cs="Arial"/>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0C6EF1F6" w14:textId="08ABB20E" w:rsidR="000E3E94" w:rsidRPr="00AB3B09" w:rsidRDefault="000E3E94" w:rsidP="1C3C7ACE">
      <w:pPr>
        <w:rPr>
          <w:rFonts w:eastAsia="Arial" w:cs="Arial"/>
        </w:rPr>
      </w:pPr>
      <w:r w:rsidRPr="00AB3B09">
        <w:rPr>
          <w:rFonts w:eastAsia="Arial" w:cs="Arial"/>
        </w:rPr>
        <w:t>Les conditions de l'exercice de cette sous-traitance sont définies à l'article 3.6 du CCAG-Travaux.</w:t>
      </w:r>
    </w:p>
    <w:p w14:paraId="0D672483" w14:textId="77777777" w:rsidR="00BF0D21" w:rsidRPr="00AB3B09" w:rsidRDefault="00BF0D21" w:rsidP="007E30AA">
      <w:pPr>
        <w:rPr>
          <w:rFonts w:eastAsia="Arial" w:cs="Arial"/>
          <w:szCs w:val="20"/>
        </w:rPr>
      </w:pPr>
      <w:r w:rsidRPr="00AB3B09">
        <w:rPr>
          <w:rFonts w:eastAsia="Arial" w:cs="Arial"/>
          <w:szCs w:val="20"/>
        </w:rPr>
        <w:t>Le titulaire sera tenu de transmettre, tous les 3 mois, au maître d’ouvrage la pièce mentionnée aux articles D.8254-2 à -5 du code du travail. Il s’agit de la liste nominative des salariés étrangers employés et soumis à l’autorisation du travail mentionnée aux articles L.5221-2,3 et 11 du code du travail.</w:t>
      </w:r>
    </w:p>
    <w:p w14:paraId="0FED5557" w14:textId="77777777" w:rsidR="00BF0D21" w:rsidRPr="00AB3B09" w:rsidRDefault="00BF0D21" w:rsidP="00BF0D21">
      <w:pPr>
        <w:rPr>
          <w:rFonts w:eastAsia="Arial" w:cs="Arial"/>
          <w:szCs w:val="20"/>
        </w:rPr>
      </w:pPr>
      <w:r w:rsidRPr="00AB3B09">
        <w:rPr>
          <w:rFonts w:eastAsia="Arial" w:cs="Arial"/>
          <w:szCs w:val="20"/>
        </w:rPr>
        <w:t xml:space="preserve">Les temps de traitement des demandes de sous-traitance, y compris les temps de transmission des PPSPS seront anticipés par le titulaire. </w:t>
      </w:r>
    </w:p>
    <w:p w14:paraId="1EEF9564" w14:textId="557C603B" w:rsidR="00BF0D21" w:rsidRPr="00AB3B09" w:rsidRDefault="00BF0D21" w:rsidP="00BF0D21">
      <w:pPr>
        <w:rPr>
          <w:rFonts w:eastAsia="Arial" w:cs="Arial"/>
          <w:szCs w:val="20"/>
        </w:rPr>
      </w:pPr>
      <w:r w:rsidRPr="00AB3B09">
        <w:rPr>
          <w:rFonts w:eastAsia="Arial" w:cs="Arial"/>
          <w:szCs w:val="20"/>
        </w:rPr>
        <w:t>Tous retards imputables à une mauvaise gestion des déclarations de sous-traitance seront comptabilisés dans les retards d’exécution du titulaire</w:t>
      </w:r>
      <w:r w:rsidR="00294CBA" w:rsidRPr="00AB3B09">
        <w:rPr>
          <w:rFonts w:eastAsia="Arial" w:cs="Arial"/>
          <w:szCs w:val="20"/>
        </w:rPr>
        <w:t xml:space="preserve"> (cf</w:t>
      </w:r>
      <w:r w:rsidR="00B67505" w:rsidRPr="00AB3B09">
        <w:rPr>
          <w:rFonts w:eastAsia="Arial" w:cs="Arial"/>
          <w:szCs w:val="20"/>
        </w:rPr>
        <w:t>.</w:t>
      </w:r>
      <w:r w:rsidR="00E01A94" w:rsidRPr="00AB3B09">
        <w:rPr>
          <w:rFonts w:eastAsia="Arial" w:cs="Arial"/>
          <w:szCs w:val="20"/>
        </w:rPr>
        <w:t xml:space="preserve"> article 8.1</w:t>
      </w:r>
      <w:r w:rsidR="009C206C" w:rsidRPr="00AB3B09">
        <w:rPr>
          <w:rFonts w:eastAsia="Arial" w:cs="Arial"/>
          <w:szCs w:val="20"/>
        </w:rPr>
        <w:t xml:space="preserve"> du présent document)</w:t>
      </w:r>
      <w:r w:rsidRPr="00AB3B09">
        <w:rPr>
          <w:rFonts w:eastAsia="Arial" w:cs="Arial"/>
          <w:szCs w:val="20"/>
        </w:rPr>
        <w:t>.</w:t>
      </w:r>
    </w:p>
    <w:p w14:paraId="5DE2E6B3" w14:textId="3502896D" w:rsidR="00C81E36" w:rsidRPr="00AB3B09" w:rsidRDefault="00C81E36" w:rsidP="008A5320">
      <w:pPr>
        <w:rPr>
          <w:rFonts w:eastAsia="Arial" w:cs="Arial"/>
          <w:szCs w:val="20"/>
        </w:rPr>
      </w:pPr>
    </w:p>
    <w:p w14:paraId="6F0114D0" w14:textId="39863BB0" w:rsidR="000E3E94" w:rsidRPr="00AB3B09" w:rsidRDefault="000E3E94" w:rsidP="00C75F24">
      <w:pPr>
        <w:pStyle w:val="Titre2"/>
      </w:pPr>
      <w:bookmarkStart w:id="20" w:name="_Toc206768587"/>
      <w:r w:rsidRPr="00AB3B09">
        <w:t>Langue</w:t>
      </w:r>
      <w:bookmarkEnd w:id="20"/>
    </w:p>
    <w:p w14:paraId="7E8DB18E" w14:textId="7AF9FF9F" w:rsidR="000E3E94" w:rsidRPr="00AB3B09" w:rsidRDefault="000E3E94" w:rsidP="000E3E94">
      <w:pPr>
        <w:rPr>
          <w:rFonts w:eastAsia="Arial" w:cs="Arial"/>
          <w:szCs w:val="20"/>
        </w:rPr>
      </w:pPr>
      <w:r w:rsidRPr="00AB3B09">
        <w:rPr>
          <w:rFonts w:eastAsia="Arial" w:cs="Arial"/>
          <w:szCs w:val="20"/>
        </w:rPr>
        <w:t>Tous les documents écrits remis par le titulaire doivent être rédigés en langue française.</w:t>
      </w:r>
    </w:p>
    <w:p w14:paraId="1657CCA6" w14:textId="192452CD" w:rsidR="000E3E94" w:rsidRPr="00AB3B09" w:rsidRDefault="000E3E94" w:rsidP="000E3E94">
      <w:pPr>
        <w:rPr>
          <w:rFonts w:eastAsia="Arial" w:cs="Arial"/>
          <w:szCs w:val="20"/>
        </w:rPr>
      </w:pPr>
      <w:r w:rsidRPr="00AB3B09">
        <w:rPr>
          <w:rFonts w:eastAsia="Arial" w:cs="Arial"/>
          <w:szCs w:val="20"/>
        </w:rPr>
        <w:t>Dans le cas où le titulaire ne peut délivrer un document en langue française, il devra fournir, à sa charge, ce document accompagné d'une traduction en français.</w:t>
      </w:r>
    </w:p>
    <w:p w14:paraId="54CB3062" w14:textId="4152B51A" w:rsidR="007916FA" w:rsidRPr="00AB3B09" w:rsidRDefault="000E3E94" w:rsidP="000E3E94">
      <w:pPr>
        <w:rPr>
          <w:rFonts w:eastAsia="Arial" w:cs="Arial"/>
          <w:szCs w:val="20"/>
        </w:rPr>
      </w:pPr>
      <w:r w:rsidRPr="00AB3B09">
        <w:rPr>
          <w:rFonts w:eastAsia="Arial" w:cs="Arial"/>
          <w:szCs w:val="20"/>
        </w:rPr>
        <w:t>De plus, l'ensemble des communications écrites ou orales durant la phase d'exécution s'effectuera en français.</w:t>
      </w:r>
    </w:p>
    <w:p w14:paraId="586F2006" w14:textId="77777777" w:rsidR="000E3E94" w:rsidRPr="00AB3B09" w:rsidRDefault="000E3E94" w:rsidP="52F4DAB3">
      <w:pPr>
        <w:rPr>
          <w:rFonts w:eastAsia="Arial" w:cs="Arial"/>
        </w:rPr>
      </w:pPr>
    </w:p>
    <w:p w14:paraId="56FFE9E0" w14:textId="7236B03C" w:rsidR="007916FA" w:rsidRPr="00AB3B09" w:rsidRDefault="007916FA" w:rsidP="007916FA">
      <w:pPr>
        <w:pStyle w:val="Titre1"/>
        <w:rPr>
          <w:rFonts w:eastAsia="Arial"/>
        </w:rPr>
      </w:pPr>
      <w:bookmarkStart w:id="21" w:name="_Toc206768588"/>
      <w:r w:rsidRPr="00AB3B09">
        <w:rPr>
          <w:rFonts w:eastAsia="Arial"/>
        </w:rPr>
        <w:t>Intervenants</w:t>
      </w:r>
      <w:bookmarkEnd w:id="21"/>
    </w:p>
    <w:p w14:paraId="4D89A14A" w14:textId="6097EE8D" w:rsidR="007916FA" w:rsidRPr="00AB3B09" w:rsidRDefault="007916FA" w:rsidP="00C75F24">
      <w:pPr>
        <w:pStyle w:val="Titre2"/>
      </w:pPr>
      <w:bookmarkStart w:id="22" w:name="_Toc206768589"/>
      <w:r w:rsidRPr="00AB3B09">
        <w:t>Maitre d’ouvrage</w:t>
      </w:r>
      <w:bookmarkEnd w:id="22"/>
    </w:p>
    <w:p w14:paraId="5C3C02D1" w14:textId="77777777" w:rsidR="006C5F9C" w:rsidRPr="00AB3B09" w:rsidRDefault="006C5F9C" w:rsidP="006C5F9C">
      <w:r w:rsidRPr="00AB3B09">
        <w:t>La maîtrise d'ouvrage est assurée par la Délégation Régionale Auvergne Rhône-Alpes de l'Inserm.</w:t>
      </w:r>
    </w:p>
    <w:p w14:paraId="0544F07C" w14:textId="77777777" w:rsidR="006C5F9C" w:rsidRPr="00AB3B09" w:rsidRDefault="006C5F9C" w:rsidP="006C5F9C">
      <w:r w:rsidRPr="00AB3B09">
        <w:t>L'interlocuteur pour cette opération représentant le maître d'ouvrage est :</w:t>
      </w:r>
    </w:p>
    <w:p w14:paraId="40CA6F62" w14:textId="77777777" w:rsidR="006C5F9C" w:rsidRPr="00AB3B09" w:rsidRDefault="006C5F9C" w:rsidP="006C5F9C">
      <w:pPr>
        <w:pStyle w:val="Commentaire"/>
        <w:rPr>
          <w:b/>
          <w:u w:val="single"/>
        </w:rPr>
      </w:pPr>
      <w:r w:rsidRPr="00AB3B09">
        <w:rPr>
          <w:b/>
          <w:u w:val="single"/>
        </w:rPr>
        <w:t>Pour la partie juridique, administrative et financière du marché :</w:t>
      </w:r>
    </w:p>
    <w:p w14:paraId="311FCE21" w14:textId="77777777" w:rsidR="006C5F9C" w:rsidRPr="00AB3B09" w:rsidRDefault="006C5F9C" w:rsidP="006C5F9C">
      <w:pPr>
        <w:pStyle w:val="Commentaire"/>
        <w:spacing w:after="0"/>
      </w:pPr>
      <w:r w:rsidRPr="00AB3B09">
        <w:t>Mme Isabelle Vastico</w:t>
      </w:r>
    </w:p>
    <w:p w14:paraId="2C33A56D" w14:textId="698241E4" w:rsidR="006C5F9C" w:rsidRPr="00AB3B09" w:rsidRDefault="006C5F9C" w:rsidP="006C5F9C">
      <w:pPr>
        <w:pStyle w:val="Commentaire"/>
        <w:spacing w:after="0"/>
      </w:pPr>
      <w:r w:rsidRPr="00AB3B09">
        <w:t xml:space="preserve">Chef du Service Achats et </w:t>
      </w:r>
      <w:r w:rsidR="007E3950">
        <w:t>Marchés</w:t>
      </w:r>
    </w:p>
    <w:p w14:paraId="545E0D7B" w14:textId="77777777" w:rsidR="006C5F9C" w:rsidRPr="00AB3B09" w:rsidRDefault="006C5F9C" w:rsidP="006C5F9C">
      <w:pPr>
        <w:pStyle w:val="Commentaire"/>
        <w:spacing w:after="0"/>
      </w:pPr>
      <w:r w:rsidRPr="00AB3B09">
        <w:t>Inserm Délégation Régionale Auvergne, Rhône-Alpes</w:t>
      </w:r>
    </w:p>
    <w:p w14:paraId="3737FB14" w14:textId="77777777" w:rsidR="006C5F9C" w:rsidRPr="00AB3B09" w:rsidRDefault="006C5F9C" w:rsidP="006C5F9C">
      <w:pPr>
        <w:pStyle w:val="Commentaire"/>
        <w:spacing w:after="0"/>
        <w:rPr>
          <w:rStyle w:val="Lienhypertexte"/>
          <w:color w:val="0000FF"/>
        </w:rPr>
      </w:pPr>
      <w:hyperlink r:id="rId15" w:history="1">
        <w:r w:rsidRPr="00AB3B09">
          <w:rPr>
            <w:rStyle w:val="Lienhypertexte"/>
            <w:color w:val="0000FF"/>
          </w:rPr>
          <w:t>isabelle.vastico@inserm.fr</w:t>
        </w:r>
      </w:hyperlink>
    </w:p>
    <w:p w14:paraId="7BA98E84" w14:textId="1282ABE3" w:rsidR="007E3950" w:rsidRDefault="007E3950" w:rsidP="006C5F9C">
      <w:pPr>
        <w:pStyle w:val="Commentaire"/>
      </w:pPr>
    </w:p>
    <w:p w14:paraId="00390C95" w14:textId="4523BA32" w:rsidR="007E3950" w:rsidRDefault="007E3950" w:rsidP="007E3950">
      <w:pPr>
        <w:pStyle w:val="Commentaire"/>
        <w:spacing w:after="0"/>
      </w:pPr>
      <w:r>
        <w:t xml:space="preserve">Assistée par Mme Mariette NUBAHIMANA </w:t>
      </w:r>
    </w:p>
    <w:p w14:paraId="6478AA33" w14:textId="04D13E9E" w:rsidR="007E3950" w:rsidRDefault="007E3950" w:rsidP="007E3950">
      <w:pPr>
        <w:pStyle w:val="Commentaire"/>
        <w:spacing w:after="0"/>
      </w:pPr>
      <w:r>
        <w:t xml:space="preserve">Chargée des Achats et Marchés </w:t>
      </w:r>
    </w:p>
    <w:p w14:paraId="6355E9CE" w14:textId="4D73B8BF" w:rsidR="007E3950" w:rsidRDefault="007E3950" w:rsidP="007E3950">
      <w:pPr>
        <w:pStyle w:val="Commentaire"/>
        <w:spacing w:after="0"/>
        <w:rPr>
          <w:rStyle w:val="Lienhypertexte"/>
          <w:color w:val="0000FF"/>
        </w:rPr>
      </w:pPr>
      <w:hyperlink r:id="rId16" w:history="1">
        <w:r w:rsidRPr="007E3950">
          <w:rPr>
            <w:rStyle w:val="Lienhypertexte"/>
            <w:color w:val="0000FF"/>
          </w:rPr>
          <w:t>mariette.nubahimana@inserm.fr</w:t>
        </w:r>
      </w:hyperlink>
      <w:r w:rsidRPr="007E3950">
        <w:rPr>
          <w:rStyle w:val="Lienhypertexte"/>
          <w:color w:val="0000FF"/>
        </w:rPr>
        <w:t xml:space="preserve"> </w:t>
      </w:r>
    </w:p>
    <w:p w14:paraId="5F802345" w14:textId="77777777" w:rsidR="007E3950" w:rsidRPr="007E3950" w:rsidRDefault="007E3950" w:rsidP="007E3950">
      <w:pPr>
        <w:pStyle w:val="Commentaire"/>
        <w:spacing w:after="0"/>
        <w:rPr>
          <w:rStyle w:val="Lienhypertexte"/>
          <w:color w:val="0000FF"/>
        </w:rPr>
      </w:pPr>
    </w:p>
    <w:p w14:paraId="3F401A7D" w14:textId="77777777" w:rsidR="006C5F9C" w:rsidRPr="00AB3B09" w:rsidRDefault="006C5F9C" w:rsidP="006C5F9C">
      <w:pPr>
        <w:rPr>
          <w:b/>
          <w:u w:val="single"/>
        </w:rPr>
      </w:pPr>
      <w:r w:rsidRPr="00AB3B09">
        <w:rPr>
          <w:b/>
          <w:u w:val="single"/>
        </w:rPr>
        <w:t xml:space="preserve">Pour la partie technique du marché : </w:t>
      </w:r>
    </w:p>
    <w:p w14:paraId="194501DB" w14:textId="77777777" w:rsidR="006C5F9C" w:rsidRPr="00AB3B09" w:rsidRDefault="006C5F9C" w:rsidP="006C5F9C">
      <w:pPr>
        <w:spacing w:after="0" w:line="240" w:lineRule="auto"/>
        <w:jc w:val="left"/>
      </w:pPr>
      <w:r w:rsidRPr="00AB3B09">
        <w:t>Mme Sabrina Chesnais</w:t>
      </w:r>
    </w:p>
    <w:p w14:paraId="0764FD3D" w14:textId="77777777" w:rsidR="006C5F9C" w:rsidRPr="00AB3B09" w:rsidRDefault="006C5F9C" w:rsidP="006C5F9C">
      <w:pPr>
        <w:spacing w:after="0" w:line="240" w:lineRule="auto"/>
        <w:jc w:val="left"/>
      </w:pPr>
      <w:r w:rsidRPr="00AB3B09">
        <w:rPr>
          <w:rFonts w:eastAsia="Times New Roman" w:cs="Arial"/>
          <w:color w:val="000000"/>
          <w:szCs w:val="20"/>
          <w:lang w:eastAsia="fr-FR"/>
        </w:rPr>
        <w:t>Responsable Pôle Prévention - Immobilier</w:t>
      </w:r>
      <w:r w:rsidRPr="00AB3B09">
        <w:rPr>
          <w:rFonts w:eastAsia="Times New Roman" w:cs="Arial"/>
          <w:color w:val="000000"/>
          <w:szCs w:val="20"/>
          <w:lang w:eastAsia="fr-FR"/>
        </w:rPr>
        <w:br/>
        <w:t xml:space="preserve">Inserm, Délégation Régionale Auvergne-Rhône-Alpes </w:t>
      </w:r>
    </w:p>
    <w:p w14:paraId="4853B5FF" w14:textId="77777777" w:rsidR="006C5F9C" w:rsidRDefault="006C5F9C" w:rsidP="006C5F9C">
      <w:pPr>
        <w:pStyle w:val="Commentaire"/>
        <w:spacing w:after="0"/>
      </w:pPr>
      <w:hyperlink r:id="rId17" w:history="1">
        <w:r w:rsidRPr="00AB3B09">
          <w:rPr>
            <w:rStyle w:val="Lienhypertexte"/>
            <w:color w:val="0000FF"/>
          </w:rPr>
          <w:t>sabrina.chesnais@inserm.fr</w:t>
        </w:r>
      </w:hyperlink>
    </w:p>
    <w:p w14:paraId="1A47B1C0" w14:textId="77777777" w:rsidR="007E3950" w:rsidRPr="00AB3B09" w:rsidRDefault="007E3950" w:rsidP="006C5F9C">
      <w:pPr>
        <w:pStyle w:val="Commentaire"/>
        <w:spacing w:after="0"/>
        <w:rPr>
          <w:rFonts w:eastAsia="Times New Roman" w:cs="Arial"/>
          <w:color w:val="0000FF"/>
          <w:lang w:eastAsia="fr-FR"/>
        </w:rPr>
      </w:pPr>
    </w:p>
    <w:p w14:paraId="73BABFB4" w14:textId="77777777" w:rsidR="007916FA" w:rsidRPr="00AB3B09" w:rsidRDefault="007916FA" w:rsidP="007916FA"/>
    <w:p w14:paraId="33FD6050" w14:textId="77777777" w:rsidR="007916FA" w:rsidRPr="00AB3B09" w:rsidRDefault="007916FA" w:rsidP="00C75F24">
      <w:pPr>
        <w:pStyle w:val="Titre2"/>
      </w:pPr>
      <w:bookmarkStart w:id="23" w:name="_Toc62633062"/>
      <w:bookmarkStart w:id="24" w:name="_Toc206768590"/>
      <w:r w:rsidRPr="00AB3B09">
        <w:t>Maitrise d’œuvre</w:t>
      </w:r>
      <w:bookmarkEnd w:id="23"/>
      <w:bookmarkEnd w:id="24"/>
    </w:p>
    <w:p w14:paraId="01D0A19E" w14:textId="181F221D" w:rsidR="00107604" w:rsidRPr="00CE0925" w:rsidRDefault="00107604" w:rsidP="00107604">
      <w:pPr>
        <w:pStyle w:val="Corpsdetexte"/>
        <w:rPr>
          <w:sz w:val="20"/>
        </w:rPr>
      </w:pPr>
      <w:r w:rsidRPr="00CE0925">
        <w:rPr>
          <w:sz w:val="20"/>
        </w:rPr>
        <w:t>La maitrise d</w:t>
      </w:r>
      <w:r w:rsidR="006C5F9C" w:rsidRPr="00CE0925">
        <w:rPr>
          <w:sz w:val="20"/>
        </w:rPr>
        <w:t>’</w:t>
      </w:r>
      <w:r w:rsidR="000032FA">
        <w:rPr>
          <w:sz w:val="20"/>
        </w:rPr>
        <w:t>œuvre</w:t>
      </w:r>
      <w:r w:rsidR="006C5F9C" w:rsidRPr="00CE0925">
        <w:rPr>
          <w:sz w:val="20"/>
        </w:rPr>
        <w:t xml:space="preserve"> est portée par</w:t>
      </w:r>
      <w:r w:rsidRPr="00CE0925">
        <w:rPr>
          <w:sz w:val="20"/>
        </w:rPr>
        <w:t> :</w:t>
      </w:r>
    </w:p>
    <w:p w14:paraId="436E9704" w14:textId="77777777" w:rsidR="006C5F9C" w:rsidRPr="00CE0925" w:rsidRDefault="006C5F9C" w:rsidP="00107604">
      <w:pPr>
        <w:pStyle w:val="Corpsdetexte"/>
      </w:pPr>
    </w:p>
    <w:p w14:paraId="38FD9F37" w14:textId="77777777" w:rsidR="006C5F9C" w:rsidRPr="00CE0925" w:rsidRDefault="006C5F9C" w:rsidP="006C5F9C">
      <w:pPr>
        <w:tabs>
          <w:tab w:val="left" w:pos="720"/>
          <w:tab w:val="left" w:leader="dot" w:pos="9639"/>
        </w:tabs>
        <w:spacing w:after="0" w:line="240" w:lineRule="auto"/>
        <w:rPr>
          <w:rFonts w:eastAsia="Times New Roman" w:cs="Arial"/>
          <w:szCs w:val="24"/>
          <w:lang w:eastAsia="fr-FR"/>
        </w:rPr>
      </w:pPr>
      <w:r w:rsidRPr="00CE0925">
        <w:rPr>
          <w:rFonts w:eastAsia="Times New Roman" w:cs="Arial"/>
          <w:szCs w:val="24"/>
          <w:lang w:eastAsia="fr-FR"/>
        </w:rPr>
        <w:t>Bureau d’études Matté</w:t>
      </w:r>
    </w:p>
    <w:p w14:paraId="74D1D8A5" w14:textId="77777777" w:rsidR="006C5F9C" w:rsidRPr="00CE0925" w:rsidRDefault="006C5F9C" w:rsidP="006C5F9C">
      <w:pPr>
        <w:tabs>
          <w:tab w:val="left" w:pos="720"/>
          <w:tab w:val="left" w:leader="dot" w:pos="9639"/>
        </w:tabs>
        <w:spacing w:after="0" w:line="240" w:lineRule="auto"/>
        <w:rPr>
          <w:rFonts w:eastAsia="Times New Roman" w:cs="Arial"/>
          <w:szCs w:val="24"/>
          <w:lang w:eastAsia="fr-FR"/>
        </w:rPr>
      </w:pPr>
      <w:r w:rsidRPr="00CE0925">
        <w:rPr>
          <w:rFonts w:eastAsia="Times New Roman" w:cs="Arial"/>
          <w:szCs w:val="24"/>
          <w:lang w:eastAsia="fr-FR"/>
        </w:rPr>
        <w:t>119, Boulevard de Stalingrad</w:t>
      </w:r>
    </w:p>
    <w:p w14:paraId="31711FB6" w14:textId="77777777" w:rsidR="006C5F9C" w:rsidRPr="00CE0925" w:rsidRDefault="006C5F9C" w:rsidP="006C5F9C">
      <w:pPr>
        <w:tabs>
          <w:tab w:val="left" w:pos="720"/>
          <w:tab w:val="left" w:leader="dot" w:pos="9639"/>
        </w:tabs>
        <w:spacing w:after="0" w:line="240" w:lineRule="auto"/>
        <w:rPr>
          <w:rFonts w:eastAsia="Times New Roman" w:cs="Arial"/>
          <w:szCs w:val="24"/>
          <w:lang w:eastAsia="fr-FR"/>
        </w:rPr>
      </w:pPr>
      <w:r w:rsidRPr="00CE0925">
        <w:rPr>
          <w:rFonts w:eastAsia="Times New Roman" w:cs="Arial"/>
          <w:szCs w:val="24"/>
          <w:lang w:eastAsia="fr-FR"/>
        </w:rPr>
        <w:t>69100 VILLEURBANE</w:t>
      </w:r>
    </w:p>
    <w:p w14:paraId="5BDA6700" w14:textId="77777777" w:rsidR="006C5F9C" w:rsidRPr="00CE0925" w:rsidRDefault="006C5F9C" w:rsidP="006C5F9C">
      <w:pPr>
        <w:tabs>
          <w:tab w:val="left" w:pos="720"/>
          <w:tab w:val="left" w:leader="dot" w:pos="9639"/>
        </w:tabs>
        <w:spacing w:after="0" w:line="240" w:lineRule="auto"/>
        <w:rPr>
          <w:rFonts w:eastAsia="Times New Roman" w:cs="Arial"/>
          <w:szCs w:val="24"/>
          <w:lang w:eastAsia="fr-FR"/>
        </w:rPr>
      </w:pPr>
    </w:p>
    <w:p w14:paraId="64AE5BB1" w14:textId="77777777" w:rsidR="006C5F9C" w:rsidRPr="00CE0925" w:rsidRDefault="006C5F9C" w:rsidP="006C5F9C">
      <w:pPr>
        <w:tabs>
          <w:tab w:val="left" w:pos="720"/>
          <w:tab w:val="left" w:leader="dot" w:pos="9639"/>
        </w:tabs>
        <w:spacing w:after="0" w:line="240" w:lineRule="auto"/>
        <w:rPr>
          <w:rFonts w:eastAsia="Times New Roman" w:cs="Arial"/>
          <w:szCs w:val="24"/>
          <w:u w:val="single"/>
          <w:lang w:eastAsia="fr-FR"/>
        </w:rPr>
      </w:pPr>
      <w:r w:rsidRPr="00CE0925">
        <w:rPr>
          <w:rFonts w:eastAsia="Times New Roman" w:cs="Arial"/>
          <w:szCs w:val="24"/>
          <w:u w:val="single"/>
          <w:lang w:eastAsia="fr-FR"/>
        </w:rPr>
        <w:t>Représentée par Monsieur Olivier COMME, Président</w:t>
      </w:r>
    </w:p>
    <w:p w14:paraId="10007656" w14:textId="77777777" w:rsidR="006C5F9C" w:rsidRPr="00CE0925" w:rsidRDefault="006C5F9C" w:rsidP="006C5F9C">
      <w:pPr>
        <w:tabs>
          <w:tab w:val="left" w:pos="720"/>
          <w:tab w:val="left" w:leader="dot" w:pos="9639"/>
        </w:tabs>
        <w:spacing w:after="0" w:line="240" w:lineRule="auto"/>
        <w:rPr>
          <w:rFonts w:eastAsia="Times New Roman" w:cs="Arial"/>
          <w:szCs w:val="24"/>
          <w:lang w:eastAsia="fr-FR"/>
        </w:rPr>
      </w:pPr>
    </w:p>
    <w:p w14:paraId="7CC87D55" w14:textId="77777777" w:rsidR="006C5F9C" w:rsidRPr="00CE0925" w:rsidRDefault="006C5F9C" w:rsidP="006C5F9C">
      <w:pPr>
        <w:tabs>
          <w:tab w:val="left" w:pos="720"/>
          <w:tab w:val="left" w:leader="dot" w:pos="9639"/>
        </w:tabs>
        <w:spacing w:after="0" w:line="240" w:lineRule="auto"/>
        <w:rPr>
          <w:rFonts w:eastAsia="Times New Roman" w:cs="Arial"/>
          <w:szCs w:val="24"/>
          <w:lang w:eastAsia="fr-FR"/>
        </w:rPr>
      </w:pPr>
      <w:proofErr w:type="gramStart"/>
      <w:r w:rsidRPr="00CE0925">
        <w:rPr>
          <w:rFonts w:eastAsia="Times New Roman" w:cs="Arial"/>
          <w:szCs w:val="24"/>
          <w:lang w:eastAsia="fr-FR"/>
        </w:rPr>
        <w:t>et</w:t>
      </w:r>
      <w:proofErr w:type="gramEnd"/>
      <w:r w:rsidRPr="00CE0925">
        <w:rPr>
          <w:rFonts w:eastAsia="Times New Roman" w:cs="Arial"/>
          <w:szCs w:val="24"/>
          <w:lang w:eastAsia="fr-FR"/>
        </w:rPr>
        <w:t xml:space="preserve"> par Monsieur Fabrice DUMAZET</w:t>
      </w:r>
    </w:p>
    <w:p w14:paraId="327D19A5" w14:textId="23F22662" w:rsidR="006C5F9C" w:rsidRPr="00CE0925" w:rsidRDefault="006C5F9C" w:rsidP="006C5F9C">
      <w:pPr>
        <w:tabs>
          <w:tab w:val="left" w:pos="720"/>
          <w:tab w:val="left" w:leader="dot" w:pos="9639"/>
        </w:tabs>
        <w:spacing w:after="0" w:line="240" w:lineRule="auto"/>
        <w:rPr>
          <w:rFonts w:eastAsia="Times New Roman" w:cs="Arial"/>
          <w:szCs w:val="24"/>
          <w:lang w:eastAsia="fr-FR"/>
        </w:rPr>
      </w:pPr>
      <w:r w:rsidRPr="00CE0925">
        <w:rPr>
          <w:rFonts w:eastAsia="Times New Roman" w:cs="Arial"/>
          <w:szCs w:val="24"/>
          <w:lang w:eastAsia="fr-FR"/>
        </w:rPr>
        <w:t xml:space="preserve">Tél : </w:t>
      </w:r>
      <w:r w:rsidR="000E7995">
        <w:rPr>
          <w:rFonts w:eastAsia="Times New Roman" w:cs="Arial"/>
          <w:szCs w:val="24"/>
          <w:lang w:eastAsia="fr-FR"/>
        </w:rPr>
        <w:t>04 72 44 08 87</w:t>
      </w:r>
    </w:p>
    <w:p w14:paraId="044D9AD9" w14:textId="28591F10" w:rsidR="006C5F9C" w:rsidRPr="000E7995" w:rsidRDefault="000E7995" w:rsidP="000E7995">
      <w:pPr>
        <w:pStyle w:val="Commentaire"/>
        <w:spacing w:after="0"/>
        <w:rPr>
          <w:rStyle w:val="Lienhypertexte"/>
          <w:color w:val="0000FF"/>
        </w:rPr>
      </w:pPr>
      <w:hyperlink r:id="rId18" w:history="1">
        <w:r w:rsidRPr="000E7995">
          <w:rPr>
            <w:rStyle w:val="Lienhypertexte"/>
            <w:color w:val="0000FF"/>
          </w:rPr>
          <w:t>dumazet@matte.fr</w:t>
        </w:r>
      </w:hyperlink>
      <w:r w:rsidRPr="000E7995">
        <w:rPr>
          <w:rStyle w:val="Lienhypertexte"/>
          <w:color w:val="0000FF"/>
        </w:rPr>
        <w:t xml:space="preserve"> </w:t>
      </w:r>
      <w:r w:rsidR="006C5F9C" w:rsidRPr="000E7995">
        <w:rPr>
          <w:rStyle w:val="Lienhypertexte"/>
          <w:color w:val="0000FF"/>
        </w:rPr>
        <w:t xml:space="preserve"> </w:t>
      </w:r>
    </w:p>
    <w:p w14:paraId="634C1F9A" w14:textId="4FBA5673" w:rsidR="000E7995" w:rsidRPr="000E7995" w:rsidRDefault="000E7995" w:rsidP="000E7995">
      <w:pPr>
        <w:pStyle w:val="Commentaire"/>
        <w:spacing w:after="0"/>
        <w:rPr>
          <w:rStyle w:val="Lienhypertexte"/>
          <w:color w:val="0000FF"/>
        </w:rPr>
      </w:pPr>
      <w:hyperlink r:id="rId19" w:history="1">
        <w:r w:rsidRPr="000E7995">
          <w:rPr>
            <w:rStyle w:val="Lienhypertexte"/>
            <w:color w:val="0000FF"/>
          </w:rPr>
          <w:t>bet@matte.fr</w:t>
        </w:r>
      </w:hyperlink>
      <w:r w:rsidRPr="000E7995">
        <w:rPr>
          <w:rStyle w:val="Lienhypertexte"/>
          <w:color w:val="0000FF"/>
        </w:rPr>
        <w:t xml:space="preserve"> </w:t>
      </w:r>
    </w:p>
    <w:p w14:paraId="05C1DA8A" w14:textId="77777777" w:rsidR="000E7995" w:rsidRPr="00AB3B09" w:rsidRDefault="000E7995" w:rsidP="00107604">
      <w:pPr>
        <w:pStyle w:val="Corpsdetexte"/>
      </w:pPr>
    </w:p>
    <w:p w14:paraId="5086D33B" w14:textId="7E8D343C" w:rsidR="00C457BD" w:rsidRPr="00AB3B09" w:rsidRDefault="00C457BD" w:rsidP="0076684F">
      <w:pPr>
        <w:rPr>
          <w:rFonts w:eastAsia="Arial" w:cs="Arial"/>
          <w:szCs w:val="20"/>
        </w:rPr>
      </w:pPr>
    </w:p>
    <w:p w14:paraId="2E1BD836" w14:textId="77777777" w:rsidR="0076684F" w:rsidRPr="00AB3B09" w:rsidRDefault="0076684F" w:rsidP="0076684F">
      <w:pPr>
        <w:pStyle w:val="Titre1"/>
      </w:pPr>
      <w:bookmarkStart w:id="25" w:name="_Toc212282888"/>
      <w:bookmarkStart w:id="26" w:name="_Toc212282890"/>
      <w:bookmarkStart w:id="27" w:name="_Toc55832402"/>
      <w:bookmarkStart w:id="28" w:name="_Toc55833395"/>
      <w:bookmarkStart w:id="29" w:name="_Toc62633070"/>
      <w:bookmarkStart w:id="30" w:name="_Toc206768591"/>
      <w:bookmarkEnd w:id="17"/>
      <w:bookmarkEnd w:id="25"/>
      <w:r w:rsidRPr="00AB3B09">
        <w:t>Pièces constitutives du marché</w:t>
      </w:r>
      <w:bookmarkEnd w:id="26"/>
      <w:bookmarkEnd w:id="27"/>
      <w:bookmarkEnd w:id="28"/>
      <w:bookmarkEnd w:id="29"/>
      <w:bookmarkEnd w:id="30"/>
    </w:p>
    <w:p w14:paraId="7D424DF4" w14:textId="58E9EDCE" w:rsidR="0076684F" w:rsidRPr="00AB3B09" w:rsidRDefault="0076684F" w:rsidP="0076684F">
      <w:r w:rsidRPr="00AB3B09">
        <w:t xml:space="preserve">Par dérogation à </w:t>
      </w:r>
      <w:r w:rsidR="006C5F9C" w:rsidRPr="00AB3B09">
        <w:t>l'article 4.2</w:t>
      </w:r>
      <w:r w:rsidRPr="00AB3B09">
        <w:t xml:space="preserve"> du CCAG-Travaux, les pièces constitutives du marché sont les suivantes et prévalent, en cas de contradiction, dans l’ordre de priorité décroissant suivant :</w:t>
      </w:r>
    </w:p>
    <w:p w14:paraId="73B58EA3" w14:textId="61A1B9A0" w:rsidR="0076684F" w:rsidRPr="00AB3B09" w:rsidRDefault="0076684F" w:rsidP="003E0C5A">
      <w:pPr>
        <w:pStyle w:val="Paragraphedeliste"/>
        <w:numPr>
          <w:ilvl w:val="0"/>
          <w:numId w:val="12"/>
        </w:numPr>
        <w:spacing w:after="0" w:line="240" w:lineRule="auto"/>
        <w:ind w:left="644"/>
      </w:pPr>
      <w:r w:rsidRPr="00AB3B09">
        <w:t>L’acte d'engagement et ses éventuelles annexes (financières), dans la version résultant des dernières modifications éventuelles, opérées par avenant ;</w:t>
      </w:r>
    </w:p>
    <w:p w14:paraId="172DECF1" w14:textId="01192433" w:rsidR="0076684F" w:rsidRPr="00AB3B09" w:rsidRDefault="0076684F" w:rsidP="1C3C7ACE">
      <w:pPr>
        <w:pStyle w:val="Paragraphedeliste"/>
        <w:numPr>
          <w:ilvl w:val="0"/>
          <w:numId w:val="12"/>
        </w:numPr>
        <w:spacing w:after="0" w:line="240" w:lineRule="auto"/>
        <w:ind w:left="644"/>
        <w:rPr>
          <w:rFonts w:asciiTheme="minorHAnsi" w:eastAsiaTheme="minorEastAsia" w:hAnsiTheme="minorHAnsi"/>
          <w:szCs w:val="20"/>
        </w:rPr>
      </w:pPr>
      <w:r w:rsidRPr="00AB3B09">
        <w:t>Le présent cahier des clauses administratives particulières (CCAP) et ses éventuelles annexes ;</w:t>
      </w:r>
    </w:p>
    <w:p w14:paraId="6EEB213C" w14:textId="19D0DDC7" w:rsidR="00C81E36" w:rsidRPr="00AB3B09" w:rsidRDefault="0076684F" w:rsidP="008A5320">
      <w:pPr>
        <w:pStyle w:val="Paragraphedeliste"/>
        <w:numPr>
          <w:ilvl w:val="0"/>
          <w:numId w:val="12"/>
        </w:numPr>
        <w:spacing w:after="0" w:line="240" w:lineRule="auto"/>
        <w:ind w:left="644"/>
      </w:pPr>
      <w:r w:rsidRPr="00AB3B09">
        <w:t>Le cahier des clauses techniques particulières (CCTP) et ses éventuelles annexes ;</w:t>
      </w:r>
    </w:p>
    <w:p w14:paraId="45EE4755" w14:textId="1EB9C427" w:rsidR="087EE799" w:rsidRPr="00AB3B09" w:rsidRDefault="7BE62063" w:rsidP="053305F3">
      <w:pPr>
        <w:pStyle w:val="Paragraphedeliste"/>
        <w:numPr>
          <w:ilvl w:val="0"/>
          <w:numId w:val="12"/>
        </w:numPr>
        <w:spacing w:after="0" w:line="240" w:lineRule="auto"/>
        <w:ind w:left="644"/>
        <w:rPr>
          <w:rFonts w:asciiTheme="minorHAnsi" w:eastAsiaTheme="minorEastAsia" w:hAnsiTheme="minorHAnsi"/>
        </w:rPr>
      </w:pPr>
      <w:r w:rsidRPr="00AB3B09">
        <w:t>Le calendrier prévisionnel, remplacé ensuite par l</w:t>
      </w:r>
      <w:r w:rsidR="087EE799" w:rsidRPr="00AB3B09">
        <w:t>e calendrier détaillé d’exécution ;</w:t>
      </w:r>
    </w:p>
    <w:p w14:paraId="6ACF038E" w14:textId="43C4E7B1" w:rsidR="0076684F" w:rsidRPr="00AB3B09" w:rsidRDefault="0076684F" w:rsidP="003E0C5A">
      <w:pPr>
        <w:pStyle w:val="Paragraphedeliste"/>
        <w:numPr>
          <w:ilvl w:val="0"/>
          <w:numId w:val="12"/>
        </w:numPr>
        <w:spacing w:after="0" w:line="240" w:lineRule="auto"/>
        <w:ind w:left="644"/>
      </w:pPr>
      <w:r w:rsidRPr="00AB3B09">
        <w:t>Le cahier des clauses administratives générales applicables aux marchés publics de travaux (CCAG-</w:t>
      </w:r>
      <w:r w:rsidR="000E7995" w:rsidRPr="00AB3B09">
        <w:t xml:space="preserve">Travaux) </w:t>
      </w:r>
      <w:r w:rsidR="000E7995">
        <w:rPr>
          <w:rStyle w:val="Appelnotedebasdep"/>
        </w:rPr>
        <w:footnoteReference w:id="1"/>
      </w:r>
      <w:r w:rsidR="000E7995" w:rsidRPr="00AB3B09">
        <w:t>approuvé</w:t>
      </w:r>
      <w:r w:rsidRPr="00AB3B09">
        <w:t xml:space="preserve"> par l'arrêté du </w:t>
      </w:r>
      <w:r w:rsidR="000E7995">
        <w:t>30 mars 2021</w:t>
      </w:r>
      <w:r w:rsidRPr="00AB3B09">
        <w:t>, en vigueur lors de la remise des offres ;</w:t>
      </w:r>
    </w:p>
    <w:p w14:paraId="22C851C1" w14:textId="77777777" w:rsidR="0076684F" w:rsidRPr="00AB3B09" w:rsidRDefault="0076684F" w:rsidP="003E0C5A">
      <w:pPr>
        <w:pStyle w:val="Paragraphedeliste"/>
        <w:numPr>
          <w:ilvl w:val="0"/>
          <w:numId w:val="12"/>
        </w:numPr>
        <w:spacing w:after="0" w:line="240" w:lineRule="auto"/>
        <w:ind w:left="644"/>
      </w:pPr>
      <w:r w:rsidRPr="00AB3B09">
        <w:t>Le cahier des clauses techniques générales (CCTG)* applicable aux prestations, objet du marché, si celui-ci vise ce cahier ;</w:t>
      </w:r>
    </w:p>
    <w:p w14:paraId="49FF025F" w14:textId="77777777" w:rsidR="0076684F" w:rsidRPr="00AB3B09" w:rsidRDefault="0076684F" w:rsidP="003E0C5A">
      <w:pPr>
        <w:pStyle w:val="Paragraphedeliste"/>
        <w:numPr>
          <w:ilvl w:val="0"/>
          <w:numId w:val="12"/>
        </w:numPr>
        <w:spacing w:after="0" w:line="240" w:lineRule="auto"/>
        <w:ind w:left="644"/>
      </w:pPr>
      <w:r w:rsidRPr="00AB3B09">
        <w:t>Les éventuelles pièces écrites et graphiques remises par le maître d'ouvrage ;</w:t>
      </w:r>
    </w:p>
    <w:p w14:paraId="570ACC27" w14:textId="09180F04" w:rsidR="0076684F" w:rsidRPr="00AB3B09" w:rsidRDefault="0076684F" w:rsidP="003E0C5A">
      <w:pPr>
        <w:pStyle w:val="Paragraphedeliste"/>
        <w:numPr>
          <w:ilvl w:val="0"/>
          <w:numId w:val="12"/>
        </w:numPr>
        <w:spacing w:after="0" w:line="240" w:lineRule="auto"/>
        <w:ind w:left="644"/>
      </w:pPr>
      <w:r w:rsidRPr="00AB3B09">
        <w:t>Les normes</w:t>
      </w:r>
      <w:r w:rsidR="1C0258CF" w:rsidRPr="00AB3B09">
        <w:t xml:space="preserve"> et</w:t>
      </w:r>
      <w:r w:rsidRPr="00AB3B09">
        <w:t xml:space="preserve"> document technique unifié applicables aux prestations du présent marché ;</w:t>
      </w:r>
    </w:p>
    <w:p w14:paraId="5446E59C" w14:textId="0B87ACD1" w:rsidR="0076684F" w:rsidRPr="00AB3B09" w:rsidRDefault="0076684F" w:rsidP="0023754A">
      <w:pPr>
        <w:pStyle w:val="Paragraphedeliste"/>
        <w:numPr>
          <w:ilvl w:val="0"/>
          <w:numId w:val="12"/>
        </w:numPr>
        <w:spacing w:after="0" w:line="240" w:lineRule="auto"/>
        <w:ind w:left="644" w:right="-142"/>
      </w:pPr>
      <w:r w:rsidRPr="00AB3B09">
        <w:t>Les actes spéciaux de sous-traitance et leurs avenants, postérie</w:t>
      </w:r>
      <w:r w:rsidR="0023754A" w:rsidRPr="00AB3B09">
        <w:t xml:space="preserve">urs à la notification du marché </w:t>
      </w:r>
      <w:r w:rsidRPr="00AB3B09">
        <w:t>;</w:t>
      </w:r>
    </w:p>
    <w:p w14:paraId="3EE36BA9" w14:textId="50939D8A" w:rsidR="0076684F" w:rsidRPr="00AB3B09" w:rsidRDefault="78D4EF79" w:rsidP="1C3C7ACE">
      <w:pPr>
        <w:pStyle w:val="Paragraphedeliste"/>
        <w:numPr>
          <w:ilvl w:val="0"/>
          <w:numId w:val="12"/>
        </w:numPr>
        <w:spacing w:after="0" w:line="240" w:lineRule="auto"/>
        <w:ind w:left="644"/>
      </w:pPr>
      <w:r w:rsidRPr="00AB3B09">
        <w:t>Le mémoire technique du titulaire</w:t>
      </w:r>
      <w:r w:rsidR="67F3948E" w:rsidRPr="00AB3B09">
        <w:t xml:space="preserve"> construit sur la base du</w:t>
      </w:r>
      <w:r w:rsidRPr="00AB3B09">
        <w:rPr>
          <w:color w:val="000000" w:themeColor="text1"/>
        </w:rPr>
        <w:t xml:space="preserve"> cadre de réponse technique</w:t>
      </w:r>
    </w:p>
    <w:p w14:paraId="35A61201" w14:textId="77777777" w:rsidR="0076684F" w:rsidRPr="00AB3B09" w:rsidRDefault="0076684F" w:rsidP="0076684F">
      <w:pPr>
        <w:pStyle w:val="Paragraphedeliste"/>
        <w:spacing w:after="0" w:line="240" w:lineRule="auto"/>
        <w:ind w:left="644"/>
      </w:pPr>
    </w:p>
    <w:p w14:paraId="3F0D8183" w14:textId="77777777" w:rsidR="0076684F" w:rsidRPr="00AB3B09" w:rsidRDefault="0076684F" w:rsidP="0076684F">
      <w:pPr>
        <w:rPr>
          <w:rFonts w:cs="Arial"/>
        </w:rPr>
      </w:pPr>
      <w:r w:rsidRPr="00AB3B09">
        <w:rPr>
          <w:rFonts w:cs="Arial"/>
          <w:bCs/>
        </w:rPr>
        <w:t xml:space="preserve">Toute clause figurant dans les documents fournis par le titulaire, y compris les conditions générales de ventes du titulaire, </w:t>
      </w:r>
      <w:r w:rsidRPr="00AB3B09">
        <w:rPr>
          <w:rFonts w:cs="Arial"/>
        </w:rPr>
        <w:t>contraire aux autres pièces du marché est réputée non écrite.</w:t>
      </w:r>
    </w:p>
    <w:p w14:paraId="042E4D91" w14:textId="684C1195" w:rsidR="0076684F" w:rsidRPr="00AB3B09" w:rsidRDefault="0076684F" w:rsidP="0076684F">
      <w:pPr>
        <w:rPr>
          <w:i/>
          <w:iCs/>
        </w:rPr>
      </w:pPr>
      <w:bookmarkStart w:id="31" w:name="_Toc212282895"/>
      <w:r w:rsidRPr="00AB3B09">
        <w:rPr>
          <w:i/>
          <w:iCs/>
        </w:rPr>
        <w:t>* Ces pièces générales, bien que non jointes au présent marché, sont réputées connues des parties</w:t>
      </w:r>
    </w:p>
    <w:p w14:paraId="494B64DC" w14:textId="77777777" w:rsidR="00C457BD" w:rsidRPr="00AB3B09" w:rsidRDefault="00C457BD" w:rsidP="0076684F">
      <w:pPr>
        <w:rPr>
          <w:i/>
          <w:iCs/>
        </w:rPr>
      </w:pPr>
    </w:p>
    <w:p w14:paraId="7F627862" w14:textId="02B1B3DB" w:rsidR="0076684F" w:rsidRPr="00AB3B09" w:rsidRDefault="0076684F" w:rsidP="0076684F">
      <w:pPr>
        <w:pStyle w:val="Titre1"/>
      </w:pPr>
      <w:bookmarkStart w:id="32" w:name="_Toc62633071"/>
      <w:bookmarkStart w:id="33" w:name="_Toc206768592"/>
      <w:r w:rsidRPr="00AB3B09">
        <w:t>Conditions d’exécution des prestations</w:t>
      </w:r>
      <w:bookmarkEnd w:id="32"/>
      <w:bookmarkEnd w:id="33"/>
    </w:p>
    <w:p w14:paraId="59E60EB0" w14:textId="77777777" w:rsidR="00FA1D96" w:rsidRPr="00AB3B09" w:rsidRDefault="00FA1D96" w:rsidP="00C75F24">
      <w:pPr>
        <w:pStyle w:val="Titre2"/>
      </w:pPr>
      <w:bookmarkStart w:id="34" w:name="_Toc62633061"/>
      <w:bookmarkStart w:id="35" w:name="_Toc206768593"/>
      <w:r w:rsidRPr="00AB3B09">
        <w:t>Représentation des parties</w:t>
      </w:r>
      <w:bookmarkEnd w:id="34"/>
      <w:bookmarkEnd w:id="35"/>
    </w:p>
    <w:p w14:paraId="69CE5D09" w14:textId="2DD33858" w:rsidR="00FA1D96" w:rsidRPr="00AB3B09" w:rsidRDefault="00FA1D96" w:rsidP="0052665B">
      <w:pPr>
        <w:pStyle w:val="Titre3"/>
      </w:pPr>
      <w:bookmarkStart w:id="36" w:name="_Toc206768594"/>
      <w:r w:rsidRPr="00AB3B09">
        <w:t>Représentant du pouvoir adjudicateur</w:t>
      </w:r>
      <w:bookmarkEnd w:id="36"/>
    </w:p>
    <w:p w14:paraId="2CD42013" w14:textId="44A2E213" w:rsidR="00FA1D96" w:rsidRPr="00AB3B09" w:rsidRDefault="00FA1D96" w:rsidP="00FA1D96">
      <w:r w:rsidRPr="00AB3B09">
        <w:t xml:space="preserve">Conformément à l’article 3.3 du CCAG-Travaux, dès la notification du marché, </w:t>
      </w:r>
      <w:r w:rsidR="00063000" w:rsidRPr="00AB3B09">
        <w:t>l</w:t>
      </w:r>
      <w:r w:rsidR="00EB223F" w:rsidRPr="00AB3B09">
        <w:t>’Inserm</w:t>
      </w:r>
      <w:r w:rsidRPr="00AB3B09">
        <w:t xml:space="preserve"> désigne une personne physique, habilitée à le représenter pour les besoins de l’exécution du marché et notifie cette désignation au titulaire du marché.</w:t>
      </w:r>
    </w:p>
    <w:p w14:paraId="60DF51C4" w14:textId="77777777" w:rsidR="00FA1D96" w:rsidRPr="00AB3B09" w:rsidRDefault="00FA1D96" w:rsidP="00FA1D96">
      <w:r w:rsidRPr="00AB3B09">
        <w:t>En l'attente de cette désignation éventuelle et à défaut, les personnes physiques signataires de l'acte d'engagement sont seules habilitées à l’engager.</w:t>
      </w:r>
    </w:p>
    <w:p w14:paraId="7250B660" w14:textId="5FF4CF1A" w:rsidR="00FA1D96" w:rsidRPr="00AB3B09" w:rsidRDefault="00FA1D96" w:rsidP="00FA1D96">
      <w:r w:rsidRPr="00AB3B09">
        <w:t xml:space="preserve">D’autres personnes physiques peuvent être habilitées par </w:t>
      </w:r>
      <w:r w:rsidR="00EB223F" w:rsidRPr="00AB3B09">
        <w:t>l’Inserm</w:t>
      </w:r>
      <w:r w:rsidRPr="00AB3B09">
        <w:t xml:space="preserve"> en cours d’exécution du marché. </w:t>
      </w:r>
    </w:p>
    <w:p w14:paraId="1D71697A" w14:textId="77777777" w:rsidR="00FA1D96" w:rsidRPr="00AB3B09" w:rsidRDefault="00FA1D96" w:rsidP="0052665B">
      <w:pPr>
        <w:pStyle w:val="Titre3"/>
      </w:pPr>
      <w:bookmarkStart w:id="37" w:name="_Toc206768595"/>
      <w:r w:rsidRPr="00AB3B09">
        <w:t>Représentant du titulaire</w:t>
      </w:r>
      <w:bookmarkEnd w:id="37"/>
    </w:p>
    <w:p w14:paraId="5FA51D18" w14:textId="4531D514" w:rsidR="00FA1D96" w:rsidRPr="00AB3B09" w:rsidRDefault="00FA1D96" w:rsidP="00FA1D96">
      <w:r w:rsidRPr="00AB3B09">
        <w:t xml:space="preserve">En application de l’article 3.4 du CCAG-Travaux, le titulaire s’engage à faire connaître, dès la notification du marché, la personne physique désignée par lui et habilitée à l’engager pour les besoins de l’exécution du marché public. </w:t>
      </w:r>
    </w:p>
    <w:p w14:paraId="764D8164" w14:textId="1082708D" w:rsidR="00FA1D96" w:rsidRPr="00AB3B09" w:rsidRDefault="00FA1D96" w:rsidP="00FA1D96">
      <w:r w:rsidRPr="00AB3B09">
        <w:t xml:space="preserve">Il s’engage pareillement à faire connaître au représentant </w:t>
      </w:r>
      <w:r w:rsidR="00EB223F" w:rsidRPr="00AB3B09">
        <w:t>de l’Inserm</w:t>
      </w:r>
      <w:r w:rsidRPr="00AB3B09">
        <w:t xml:space="preserve"> toutes modifications intéressant la structure juridique ou économique de l’entreprise, sous peine d’encourir les pénalités et mesures coercitives prévues au marché public. Le titulaire communique </w:t>
      </w:r>
      <w:r w:rsidR="00EB223F" w:rsidRPr="00AB3B09">
        <w:t>à l’Inserm</w:t>
      </w:r>
      <w:r w:rsidRPr="00AB3B09">
        <w:t xml:space="preserve"> les coordonnées de ses personnels et responsables désignés par lui pour répondre aux prestations du présent marché.</w:t>
      </w:r>
    </w:p>
    <w:p w14:paraId="35289CBF" w14:textId="1AAA2C01" w:rsidR="1C3C7ACE" w:rsidRPr="00AB3B09" w:rsidRDefault="1C3C7ACE" w:rsidP="1C3C7ACE">
      <w:pPr>
        <w:rPr>
          <w:rFonts w:eastAsia="Calibri" w:cs="Arial"/>
          <w:szCs w:val="20"/>
        </w:rPr>
      </w:pPr>
    </w:p>
    <w:p w14:paraId="41944CAE" w14:textId="41C436F0" w:rsidR="0019383D" w:rsidRPr="00AB3B09" w:rsidRDefault="0076684F" w:rsidP="00C75F24">
      <w:pPr>
        <w:pStyle w:val="Titre2"/>
      </w:pPr>
      <w:bookmarkStart w:id="38" w:name="_Toc62633072"/>
      <w:bookmarkStart w:id="39" w:name="_Toc206768596"/>
      <w:r w:rsidRPr="00AB3B09">
        <w:t>Modalités d’intervention</w:t>
      </w:r>
      <w:bookmarkEnd w:id="38"/>
      <w:bookmarkEnd w:id="39"/>
    </w:p>
    <w:p w14:paraId="4C9B7859" w14:textId="0AB6DE84" w:rsidR="0076684F" w:rsidRPr="00AB3B09" w:rsidRDefault="00C82D1E" w:rsidP="1C3C7ACE">
      <w:r w:rsidRPr="00AB3B09">
        <w:t>L’exécution du présent marché est soumise aux dispositions des articles R.4511-1 à 4 et R.4515-1 à R. 4514-8, R.4514-9 et R.4514-10 du code du travail.</w:t>
      </w:r>
    </w:p>
    <w:p w14:paraId="4C0F9547" w14:textId="7B00F94C" w:rsidR="0076684F" w:rsidRPr="00AB3B09" w:rsidRDefault="78D4EF79" w:rsidP="0052665B">
      <w:pPr>
        <w:pStyle w:val="Titre3"/>
      </w:pPr>
      <w:bookmarkStart w:id="40" w:name="_Toc206768597"/>
      <w:r w:rsidRPr="00AB3B09">
        <w:t xml:space="preserve">Inspection conjointe des lieux et analyse </w:t>
      </w:r>
      <w:r w:rsidR="01004DD5" w:rsidRPr="00AB3B09">
        <w:t>des risques préalables</w:t>
      </w:r>
      <w:r w:rsidRPr="00AB3B09">
        <w:t xml:space="preserve"> aux travaux</w:t>
      </w:r>
      <w:bookmarkEnd w:id="40"/>
    </w:p>
    <w:p w14:paraId="4042EF3C" w14:textId="315DA21F" w:rsidR="007D6E9F" w:rsidRPr="00AB3B09" w:rsidRDefault="007D6E9F" w:rsidP="007D6E9F">
      <w:r w:rsidRPr="00AB3B09">
        <w:t>Une inspection commune des lieux de travail, des installations et des matériels éventuellement mis à la disposition du prestataire est effectuée préalablement à l’exécution de l’opération conformément aux dispositions de l’</w:t>
      </w:r>
      <w:r w:rsidR="00313AA4" w:rsidRPr="00AB3B09">
        <w:t>article R.4512-2 à 5 du c</w:t>
      </w:r>
      <w:r w:rsidRPr="00AB3B09">
        <w:t>ode du travail.</w:t>
      </w:r>
    </w:p>
    <w:p w14:paraId="5EE29E6C" w14:textId="3D2A4B61" w:rsidR="00963BBA" w:rsidRPr="00AB3B09" w:rsidRDefault="007D6E9F" w:rsidP="007D6E9F">
      <w:r w:rsidRPr="00AB3B09">
        <w:t>Au cours de cette inspection, l</w:t>
      </w:r>
      <w:r w:rsidR="00EB223F" w:rsidRPr="00AB3B09">
        <w:t>’Inserm</w:t>
      </w:r>
      <w:r w:rsidR="00D96819" w:rsidRPr="00AB3B09">
        <w:t xml:space="preserve"> </w:t>
      </w:r>
      <w:r w:rsidRPr="00AB3B09">
        <w:t>ou son représentant communique au titulaire ou à son représentant habilité conformément aux dispositions de l’article R.4511-9 du code du travail les consignes de sécurité applicables à l’opération qui concerneront ses salariés à l’occasion de leur travail ou déplacements</w:t>
      </w:r>
    </w:p>
    <w:p w14:paraId="0B9D8C50" w14:textId="0B3D5D0B" w:rsidR="00313AA4" w:rsidRPr="00AB3B09" w:rsidRDefault="00313AA4" w:rsidP="00313AA4">
      <w:r w:rsidRPr="00AB3B09">
        <w:t xml:space="preserve">A l’issue de cette inspection et </w:t>
      </w:r>
      <w:r w:rsidR="424AD988" w:rsidRPr="00AB3B09">
        <w:t>aux vues</w:t>
      </w:r>
      <w:r w:rsidRPr="00AB3B09">
        <w:t xml:space="preserve"> des informations et éléments recueillis, le pouvoir adjudicateur ou son représentant et le titulaire ou son représentant procèdent en commun à une analyse des risques pouvant résulter de l’intervention sur le site du pouvoir adjudicateur.</w:t>
      </w:r>
      <w:r w:rsidR="00CC6ECC" w:rsidRPr="00AB3B09">
        <w:t xml:space="preserve"> A l’issue de cette phase, il est établi conjointement un plan de prévention. </w:t>
      </w:r>
    </w:p>
    <w:p w14:paraId="0E0C66B0" w14:textId="4B317300" w:rsidR="004139E1" w:rsidRPr="00AB3B09" w:rsidRDefault="004139E1" w:rsidP="00CB2ED2">
      <w:pPr>
        <w:pStyle w:val="Titre3"/>
      </w:pPr>
      <w:bookmarkStart w:id="41" w:name="_Toc206768598"/>
      <w:r w:rsidRPr="00AB3B09">
        <w:t xml:space="preserve">Réunions </w:t>
      </w:r>
      <w:r w:rsidR="00CB2ED2" w:rsidRPr="00AB3B09">
        <w:t>de prévention des risques et inspections</w:t>
      </w:r>
      <w:bookmarkEnd w:id="41"/>
    </w:p>
    <w:p w14:paraId="44E7D044" w14:textId="5A41482F" w:rsidR="004139E1" w:rsidRPr="00AB3B09" w:rsidRDefault="00CC6ECC" w:rsidP="34DD3CF9">
      <w:pPr>
        <w:rPr>
          <w:rFonts w:eastAsia="Arial" w:cs="Arial"/>
        </w:rPr>
      </w:pPr>
      <w:r w:rsidRPr="00AB3B09">
        <w:t>Lorsque le</w:t>
      </w:r>
      <w:r w:rsidR="004139E1" w:rsidRPr="00AB3B09">
        <w:t xml:space="preserve"> pl</w:t>
      </w:r>
      <w:r w:rsidR="004139E1" w:rsidRPr="00AB3B09">
        <w:rPr>
          <w:rFonts w:eastAsia="Arial" w:cs="Arial"/>
        </w:rPr>
        <w:t xml:space="preserve">an de prévention a été arrêté conformément aux dispositions de l’article R.4512-7 du code du travail, le pouvoir adjudicateur </w:t>
      </w:r>
      <w:r w:rsidR="000A75A7" w:rsidRPr="00AB3B09">
        <w:rPr>
          <w:rFonts w:eastAsia="Arial" w:cs="Arial"/>
        </w:rPr>
        <w:t xml:space="preserve">ou </w:t>
      </w:r>
      <w:r w:rsidR="004139E1" w:rsidRPr="00AB3B09">
        <w:rPr>
          <w:rFonts w:eastAsia="Arial" w:cs="Arial"/>
        </w:rPr>
        <w:t>son représentant</w:t>
      </w:r>
      <w:r w:rsidR="000A75A7" w:rsidRPr="00AB3B09">
        <w:rPr>
          <w:rFonts w:eastAsia="Arial" w:cs="Arial"/>
        </w:rPr>
        <w:t>,</w:t>
      </w:r>
      <w:r w:rsidR="004139E1" w:rsidRPr="00AB3B09">
        <w:rPr>
          <w:rFonts w:eastAsia="Arial" w:cs="Arial"/>
        </w:rPr>
        <w:t xml:space="preserve"> à son initiative ou à la demande </w:t>
      </w:r>
      <w:r w:rsidR="002231E5" w:rsidRPr="00AB3B09">
        <w:rPr>
          <w:rFonts w:eastAsia="Arial" w:cs="Arial"/>
        </w:rPr>
        <w:t>du titulaire</w:t>
      </w:r>
      <w:r w:rsidR="004139E1" w:rsidRPr="00AB3B09">
        <w:rPr>
          <w:rFonts w:eastAsia="Arial" w:cs="Arial"/>
        </w:rPr>
        <w:t>, organise s’il l’estime nécessaire des inspections et réunions périodiques afin d’assurer la coordination des mesures de prévention.</w:t>
      </w:r>
    </w:p>
    <w:p w14:paraId="706F3C69" w14:textId="652B9D5F" w:rsidR="4EDAF876" w:rsidRPr="00AB3B09" w:rsidRDefault="4EDAF876" w:rsidP="34DD3CF9">
      <w:r w:rsidRPr="00AB3B09">
        <w:t>Les mesures prises à l’occasion de cette coordination font l’objet d’une mise à jour du plan de prévention.</w:t>
      </w:r>
    </w:p>
    <w:p w14:paraId="26975956" w14:textId="055478B5" w:rsidR="00CB2ED2" w:rsidRPr="00AB3B09" w:rsidRDefault="4EDAF876" w:rsidP="1C3C7ACE">
      <w:pPr>
        <w:rPr>
          <w:rFonts w:eastAsia="Calibri" w:cs="Arial"/>
        </w:rPr>
      </w:pPr>
      <w:r w:rsidRPr="00AB3B09">
        <w:rPr>
          <w:rFonts w:eastAsia="Calibri" w:cs="Arial"/>
        </w:rPr>
        <w:t xml:space="preserve">Le pouvoir adjudicateur ou son représentant organise également, s’il l’estime nécessaire, des réunions </w:t>
      </w:r>
      <w:r w:rsidR="008C453F" w:rsidRPr="00AB3B09">
        <w:rPr>
          <w:rFonts w:eastAsia="Calibri" w:cs="Arial"/>
        </w:rPr>
        <w:t xml:space="preserve">qui permettent de vérifier </w:t>
      </w:r>
      <w:r w:rsidR="00CB2ED2" w:rsidRPr="00AB3B09">
        <w:rPr>
          <w:rFonts w:eastAsia="Calibri" w:cs="Arial"/>
        </w:rPr>
        <w:t>la mise en place de ces mesures.</w:t>
      </w:r>
    </w:p>
    <w:p w14:paraId="04B22A7F" w14:textId="0C77079A" w:rsidR="00CC6ECC" w:rsidRPr="00AB3B09" w:rsidRDefault="00CB2ED2" w:rsidP="00CB2ED2">
      <w:pPr>
        <w:pStyle w:val="Titre3"/>
      </w:pPr>
      <w:bookmarkStart w:id="42" w:name="_Toc206768599"/>
      <w:r w:rsidRPr="00AB3B09">
        <w:t>Réunions périodiques et de chantier</w:t>
      </w:r>
      <w:bookmarkEnd w:id="42"/>
    </w:p>
    <w:p w14:paraId="1B06A1EE" w14:textId="1323BCDF" w:rsidR="00CB2ED2" w:rsidRPr="00AB3B09" w:rsidRDefault="00CB2ED2" w:rsidP="34DD3CF9">
      <w:pPr>
        <w:rPr>
          <w:rFonts w:eastAsia="Calibri" w:cs="Arial"/>
        </w:rPr>
      </w:pPr>
      <w:r w:rsidRPr="00AB3B09">
        <w:rPr>
          <w:rFonts w:eastAsia="Calibri" w:cs="Arial"/>
        </w:rPr>
        <w:t>Le titulaire</w:t>
      </w:r>
      <w:r w:rsidR="00F95419" w:rsidRPr="00AB3B09">
        <w:rPr>
          <w:rFonts w:eastAsia="Calibri" w:cs="Arial"/>
        </w:rPr>
        <w:t>,</w:t>
      </w:r>
      <w:r w:rsidRPr="00AB3B09">
        <w:rPr>
          <w:rFonts w:eastAsia="Calibri" w:cs="Arial"/>
        </w:rPr>
        <w:t xml:space="preserve"> ou son représentant</w:t>
      </w:r>
      <w:r w:rsidR="00F95419" w:rsidRPr="00AB3B09">
        <w:rPr>
          <w:rFonts w:eastAsia="Calibri" w:cs="Arial"/>
        </w:rPr>
        <w:t>,</w:t>
      </w:r>
      <w:r w:rsidRPr="00AB3B09">
        <w:rPr>
          <w:rFonts w:eastAsia="Calibri" w:cs="Arial"/>
        </w:rPr>
        <w:t xml:space="preserve"> est convoqué aux réunions liées à l’exécution du chantier. </w:t>
      </w:r>
    </w:p>
    <w:p w14:paraId="5D1166F7" w14:textId="7DF49659" w:rsidR="00F95419" w:rsidRPr="00AB3B09" w:rsidRDefault="00F95419" w:rsidP="34DD3CF9">
      <w:pPr>
        <w:rPr>
          <w:rFonts w:eastAsia="Calibri" w:cs="Arial"/>
        </w:rPr>
      </w:pPr>
      <w:r w:rsidRPr="00AB3B09">
        <w:rPr>
          <w:rFonts w:eastAsia="Calibri" w:cs="Arial"/>
        </w:rPr>
        <w:t xml:space="preserve">Une première réunion de lancement est prévue sur la base d’un ordre de service qui indiquera la date de convocation. En cas d’absence non excusée à cette réunion, le titulaire s’expose au paiement d’une pénalité telle que prévue à l’article 8.2 du présent CCAP. </w:t>
      </w:r>
    </w:p>
    <w:p w14:paraId="5D409588" w14:textId="12E3BAEA" w:rsidR="00CB2ED2" w:rsidRPr="00AB3B09" w:rsidRDefault="00F95419" w:rsidP="34DD3CF9">
      <w:pPr>
        <w:rPr>
          <w:rFonts w:eastAsia="Arial" w:cs="Arial"/>
        </w:rPr>
      </w:pPr>
      <w:r w:rsidRPr="00AB3B09">
        <w:rPr>
          <w:rFonts w:eastAsia="Calibri" w:cs="Arial"/>
        </w:rPr>
        <w:t>A l’issue de la réunion de lancement est établi un compte-rendu de réunion qui prévoira la date de la réunion de démarrage du chantier et la périodicité des réunions de chantier. Ce document prévoira également la liste des intervenants attendus. A nouveau, en cas d’absence non excusée à l’une de ces réunions, le titulaire s’expose au paiement d’une pénalité telle que</w:t>
      </w:r>
      <w:r w:rsidRPr="00AB3B09">
        <w:rPr>
          <w:rFonts w:eastAsia="Arial" w:cs="Arial"/>
        </w:rPr>
        <w:t xml:space="preserve"> prévue à l’article 8.2 du présent CCAP. </w:t>
      </w:r>
    </w:p>
    <w:p w14:paraId="2F72720D" w14:textId="148A543E" w:rsidR="00CB2ED2" w:rsidRPr="00AB3B09" w:rsidRDefault="00CB2ED2" w:rsidP="34DD3CF9">
      <w:pPr>
        <w:pStyle w:val="Commentaire"/>
        <w:rPr>
          <w:rFonts w:eastAsia="Arial" w:cs="Arial"/>
        </w:rPr>
      </w:pPr>
      <w:r w:rsidRPr="00AB3B09">
        <w:rPr>
          <w:rFonts w:eastAsia="Arial" w:cs="Arial"/>
        </w:rPr>
        <w:t xml:space="preserve">Un </w:t>
      </w:r>
      <w:r w:rsidR="00F95419" w:rsidRPr="00AB3B09">
        <w:rPr>
          <w:rFonts w:eastAsia="Arial" w:cs="Arial"/>
        </w:rPr>
        <w:t>compte-rendu de réunion</w:t>
      </w:r>
      <w:r w:rsidRPr="00AB3B09">
        <w:rPr>
          <w:rFonts w:eastAsia="Arial" w:cs="Arial"/>
        </w:rPr>
        <w:t xml:space="preserve"> </w:t>
      </w:r>
      <w:r w:rsidR="00F95419" w:rsidRPr="00AB3B09">
        <w:rPr>
          <w:rFonts w:eastAsia="Arial" w:cs="Arial"/>
        </w:rPr>
        <w:t>est</w:t>
      </w:r>
      <w:r w:rsidRPr="00AB3B09">
        <w:rPr>
          <w:rFonts w:eastAsia="Arial" w:cs="Arial"/>
        </w:rPr>
        <w:t xml:space="preserve"> transmis et diffusé </w:t>
      </w:r>
      <w:r w:rsidR="00F95419" w:rsidRPr="00AB3B09">
        <w:rPr>
          <w:rFonts w:eastAsia="Arial" w:cs="Arial"/>
        </w:rPr>
        <w:t>à la suite de chaque réunion périodique</w:t>
      </w:r>
      <w:r w:rsidRPr="00AB3B09">
        <w:rPr>
          <w:rFonts w:eastAsia="Arial" w:cs="Arial"/>
        </w:rPr>
        <w:t xml:space="preserve"> et retrace l’avancée (ou retard), les difficultés rencontrées et les personnes en charge de les résoudre (maitrise d’ouvrage le plus souvent)</w:t>
      </w:r>
      <w:r w:rsidR="14E10F5B" w:rsidRPr="00AB3B09">
        <w:rPr>
          <w:rFonts w:eastAsia="Arial" w:cs="Arial"/>
        </w:rPr>
        <w:t xml:space="preserve">. Le compte-rendu reprend également </w:t>
      </w:r>
      <w:r w:rsidRPr="00AB3B09">
        <w:rPr>
          <w:rFonts w:eastAsia="Arial" w:cs="Arial"/>
        </w:rPr>
        <w:t xml:space="preserve">un tableau des pénalités qui sera mis à jour </w:t>
      </w:r>
      <w:r w:rsidR="00F95419" w:rsidRPr="00AB3B09">
        <w:rPr>
          <w:rFonts w:eastAsia="Arial" w:cs="Arial"/>
        </w:rPr>
        <w:t>à l’issue de chaque réunion</w:t>
      </w:r>
      <w:r w:rsidRPr="00AB3B09">
        <w:rPr>
          <w:rFonts w:eastAsia="Arial" w:cs="Arial"/>
        </w:rPr>
        <w:t>.</w:t>
      </w:r>
    </w:p>
    <w:p w14:paraId="59205561" w14:textId="77777777" w:rsidR="00CB2ED2" w:rsidRPr="00AB3B09" w:rsidRDefault="00CB2ED2" w:rsidP="3C698118">
      <w:pPr>
        <w:rPr>
          <w:rFonts w:eastAsia="Arial" w:cs="Arial"/>
        </w:rPr>
      </w:pPr>
    </w:p>
    <w:p w14:paraId="2780BD76" w14:textId="2D044E1F" w:rsidR="00C82D1E" w:rsidRPr="00AB3B09" w:rsidRDefault="78D4EF79" w:rsidP="00C75F24">
      <w:pPr>
        <w:pStyle w:val="Titre2"/>
      </w:pPr>
      <w:bookmarkStart w:id="43" w:name="_Toc62633073"/>
      <w:bookmarkStart w:id="44" w:name="_Toc206768600"/>
      <w:r w:rsidRPr="00AB3B09">
        <w:t>Caractéristiques des matériaux et produits</w:t>
      </w:r>
      <w:bookmarkEnd w:id="43"/>
      <w:bookmarkEnd w:id="44"/>
    </w:p>
    <w:p w14:paraId="2500804D" w14:textId="2506B657" w:rsidR="00C82D1E" w:rsidRPr="00AB3B09" w:rsidRDefault="54B729B8" w:rsidP="00C82D1E">
      <w:pPr>
        <w:rPr>
          <w:rFonts w:eastAsia="Arial" w:cs="Arial"/>
        </w:rPr>
      </w:pPr>
      <w:r w:rsidRPr="00AB3B09">
        <w:rPr>
          <w:rFonts w:eastAsia="Arial" w:cs="Arial"/>
        </w:rPr>
        <w:t>L’ensemble des cahiers des charges, DTU, des règles de calcul, des cahiers des clauses spéciales rendus obligatoires par décrets ou normes européennes reconnues s’appliquent au marché.</w:t>
      </w:r>
    </w:p>
    <w:p w14:paraId="35AFCB54" w14:textId="000353FF" w:rsidR="00C457BD" w:rsidRPr="00AB3B09" w:rsidRDefault="670D4CF8" w:rsidP="75D672B4">
      <w:r w:rsidRPr="00AB3B09">
        <w:t>L’entrepreneur est tenu de mettre à la disposition du maître d’œuvre les documents assurant la traçabilité de tous les produits et matériaux mis en œuvre préalablement à leur mise en œuvre</w:t>
      </w:r>
      <w:r w:rsidR="7657B1EB" w:rsidRPr="00AB3B09">
        <w:t xml:space="preserve"> (se référer au CCTP)</w:t>
      </w:r>
      <w:r w:rsidRPr="00AB3B09">
        <w:t>.</w:t>
      </w:r>
    </w:p>
    <w:p w14:paraId="1ABA1875" w14:textId="77777777" w:rsidR="005A161D" w:rsidRPr="00AB3B09" w:rsidRDefault="005A161D" w:rsidP="75D672B4"/>
    <w:p w14:paraId="740DE049" w14:textId="77777777" w:rsidR="0076684F" w:rsidRPr="00AB3B09" w:rsidRDefault="0076684F" w:rsidP="00C75F24">
      <w:pPr>
        <w:pStyle w:val="Titre2"/>
      </w:pPr>
      <w:bookmarkStart w:id="45" w:name="_Toc62633074"/>
      <w:bookmarkStart w:id="46" w:name="_Toc206768601"/>
      <w:r w:rsidRPr="00AB3B09">
        <w:t>Préparation et coordination des travaux</w:t>
      </w:r>
      <w:bookmarkEnd w:id="45"/>
      <w:bookmarkEnd w:id="46"/>
    </w:p>
    <w:p w14:paraId="5362445C" w14:textId="4988B073" w:rsidR="0076684F" w:rsidRPr="00AB3B09" w:rsidRDefault="002F3D70" w:rsidP="0052665B">
      <w:pPr>
        <w:pStyle w:val="Titre3"/>
        <w:rPr>
          <w:rFonts w:eastAsia="Arial" w:cs="Arial"/>
        </w:rPr>
      </w:pPr>
      <w:bookmarkStart w:id="47" w:name="_Toc206768602"/>
      <w:r w:rsidRPr="00AB3B09">
        <w:t xml:space="preserve">Période de préparation - </w:t>
      </w:r>
      <w:r w:rsidR="0076684F" w:rsidRPr="00AB3B09">
        <w:t>Programme d’exécution des travaux</w:t>
      </w:r>
      <w:bookmarkEnd w:id="47"/>
      <w:r w:rsidR="0076684F" w:rsidRPr="00AB3B09">
        <w:t xml:space="preserve"> </w:t>
      </w:r>
    </w:p>
    <w:p w14:paraId="066089C7" w14:textId="622A29FF" w:rsidR="002F3D70" w:rsidRPr="00AB3B09" w:rsidRDefault="3837CDA7" w:rsidP="002F3D70">
      <w:r w:rsidRPr="00AB3B09">
        <w:t xml:space="preserve">Par dérogation à l’article 28.1 du CCAG-Travaux, </w:t>
      </w:r>
      <w:r w:rsidR="6545B00E" w:rsidRPr="00AB3B09">
        <w:t>i</w:t>
      </w:r>
      <w:r w:rsidR="370CB3BB" w:rsidRPr="00AB3B09">
        <w:t xml:space="preserve">l est fixé une période de </w:t>
      </w:r>
      <w:r w:rsidR="370CB3BB" w:rsidRPr="00266726">
        <w:t>préparation</w:t>
      </w:r>
      <w:r w:rsidR="42CD64A2" w:rsidRPr="00266726">
        <w:t xml:space="preserve"> d’une durée </w:t>
      </w:r>
      <w:r w:rsidR="00647DD3" w:rsidRPr="00266726">
        <w:t xml:space="preserve">de </w:t>
      </w:r>
      <w:r w:rsidR="0023322C">
        <w:t>quatre</w:t>
      </w:r>
      <w:r w:rsidR="00266726" w:rsidRPr="00266726">
        <w:t xml:space="preserve"> (</w:t>
      </w:r>
      <w:r w:rsidR="0023322C">
        <w:t>4</w:t>
      </w:r>
      <w:r w:rsidR="00266726" w:rsidRPr="00266726">
        <w:t>)</w:t>
      </w:r>
      <w:r w:rsidR="42CD64A2" w:rsidRPr="00266726">
        <w:t xml:space="preserve"> s</w:t>
      </w:r>
      <w:r w:rsidR="0023322C">
        <w:t>emaines</w:t>
      </w:r>
      <w:r w:rsidR="370CB3BB" w:rsidRPr="00266726">
        <w:t>. Elle est comprise dans le délai d'exécution.</w:t>
      </w:r>
    </w:p>
    <w:p w14:paraId="6A3ECADD" w14:textId="15B7F237" w:rsidR="002F3D70" w:rsidRPr="00AB3B09" w:rsidRDefault="002F3D70" w:rsidP="3C698118">
      <w:r w:rsidRPr="00AB3B09">
        <w:t>Les travaux ne peuvent pas commencer avant l’obtention du visa du maître d’œuvre (dérogation à l’article 28.2.2 du CCAG-Travaux).</w:t>
      </w:r>
    </w:p>
    <w:p w14:paraId="660B41E9" w14:textId="3E804F0A" w:rsidR="3C698118" w:rsidRPr="00AB3B09" w:rsidRDefault="3C698118" w:rsidP="3C698118"/>
    <w:p w14:paraId="274902E9" w14:textId="18CAA66E" w:rsidR="0076684F" w:rsidRPr="00AB3B09" w:rsidRDefault="0076684F" w:rsidP="3C698118">
      <w:pPr>
        <w:pStyle w:val="Titre1"/>
        <w:rPr>
          <w:rFonts w:asciiTheme="minorHAnsi" w:eastAsiaTheme="minorEastAsia" w:hAnsiTheme="minorHAnsi" w:cstheme="minorBidi"/>
          <w:sz w:val="20"/>
          <w:szCs w:val="20"/>
        </w:rPr>
      </w:pPr>
      <w:bookmarkStart w:id="48" w:name="_Toc206768603"/>
      <w:r w:rsidRPr="00AB3B09">
        <w:t xml:space="preserve">Mesures particulières </w:t>
      </w:r>
      <w:r w:rsidR="00F1151B" w:rsidRPr="00AB3B09">
        <w:t>liées à la sécurité, la santé</w:t>
      </w:r>
      <w:bookmarkEnd w:id="48"/>
    </w:p>
    <w:p w14:paraId="73E4442B" w14:textId="2DF7227C" w:rsidR="00F1151B" w:rsidRPr="00AB3B09" w:rsidRDefault="00F1151B" w:rsidP="00F1151B">
      <w:r w:rsidRPr="00AB3B09">
        <w:t>Le titulaire, ou chaque cotraitant en cas de groupement, s’engage au respect des lois et règlements relatifs à la protection de la main d’</w:t>
      </w:r>
      <w:r w:rsidR="00EB223F" w:rsidRPr="00AB3B09">
        <w:t>œuvre</w:t>
      </w:r>
      <w:r w:rsidRPr="00AB3B09">
        <w:t xml:space="preserve"> et aux conditions de travail dans les conditions définies à l’article 6</w:t>
      </w:r>
      <w:r w:rsidR="00B41A98" w:rsidRPr="00AB3B09">
        <w:t>.1 du CCAG-</w:t>
      </w:r>
      <w:r w:rsidRPr="00AB3B09">
        <w:t xml:space="preserve">Travaux. Le titulaire ou chaque cotraitant s’engage à justifier du respect de ces lois et règlements, en cours d’exécution du marché et pendant la période de garantie des prestations, dans un délai de 8 jours, sur simple </w:t>
      </w:r>
      <w:r w:rsidR="00D122E7" w:rsidRPr="00AB3B09">
        <w:t>demande de</w:t>
      </w:r>
      <w:r w:rsidR="00EB223F" w:rsidRPr="00AB3B09">
        <w:t xml:space="preserve"> l’Inserm</w:t>
      </w:r>
      <w:r w:rsidRPr="00AB3B09">
        <w:t>.</w:t>
      </w:r>
    </w:p>
    <w:p w14:paraId="186A51B2" w14:textId="77777777" w:rsidR="00F1151B" w:rsidRPr="00AB3B09" w:rsidRDefault="00F1151B" w:rsidP="00F1151B"/>
    <w:p w14:paraId="4EA634FF" w14:textId="259AF7A3" w:rsidR="0076684F" w:rsidRPr="00AB3B09" w:rsidRDefault="78D4EF79" w:rsidP="00C75F24">
      <w:pPr>
        <w:pStyle w:val="Titre2"/>
      </w:pPr>
      <w:bookmarkStart w:id="49" w:name="_Toc62633075"/>
      <w:bookmarkStart w:id="50" w:name="_Toc206768604"/>
      <w:r w:rsidRPr="00AB3B09">
        <w:t>Exécution des travaux</w:t>
      </w:r>
      <w:bookmarkEnd w:id="49"/>
      <w:bookmarkEnd w:id="50"/>
    </w:p>
    <w:p w14:paraId="594BEF3B" w14:textId="2D52E7C0" w:rsidR="0076684F" w:rsidRPr="00AB3B09" w:rsidRDefault="0076684F" w:rsidP="0052665B">
      <w:pPr>
        <w:pStyle w:val="Titre3"/>
      </w:pPr>
      <w:bookmarkStart w:id="51" w:name="_Toc206768605"/>
      <w:r w:rsidRPr="00AB3B09">
        <w:t>Normes applicables aux matériels décrites dans le CCTP</w:t>
      </w:r>
      <w:bookmarkEnd w:id="51"/>
    </w:p>
    <w:p w14:paraId="15E071BE" w14:textId="73900B66" w:rsidR="00577ECA" w:rsidRPr="00AB3B09" w:rsidRDefault="00577ECA" w:rsidP="00577ECA">
      <w:r w:rsidRPr="00AB3B09">
        <w:t>Les matériaux et produits de construction utilisés pour l’exécution du marché doivent être conformes aux normes visées par le CCTP.</w:t>
      </w:r>
    </w:p>
    <w:p w14:paraId="6BBF8E6A" w14:textId="59321A9F" w:rsidR="002543BF" w:rsidRPr="00AB3B09" w:rsidRDefault="0076684F" w:rsidP="002543BF">
      <w:pPr>
        <w:pStyle w:val="Titre3"/>
      </w:pPr>
      <w:bookmarkStart w:id="52" w:name="_Toc206768606"/>
      <w:r w:rsidRPr="00AB3B09">
        <w:t>Registre de chantier</w:t>
      </w:r>
      <w:bookmarkEnd w:id="52"/>
    </w:p>
    <w:p w14:paraId="0AF83BA5" w14:textId="1B0F3A10" w:rsidR="003C1477" w:rsidRPr="00AB3B09" w:rsidRDefault="003C1477" w:rsidP="003C1477">
      <w:r w:rsidRPr="00AB3B09">
        <w:t>Un registre de chantier sera tenu dans le cadre de l’exécution du marché afin de notamment répertorier l’ensemble des documents émis ou reçus par le maître d’œuvre.</w:t>
      </w:r>
    </w:p>
    <w:p w14:paraId="68C8B60C" w14:textId="1D4F4DAA" w:rsidR="00292F0C" w:rsidRPr="00AB3B09" w:rsidRDefault="0076684F" w:rsidP="00292F0C">
      <w:pPr>
        <w:pStyle w:val="Titre3"/>
      </w:pPr>
      <w:bookmarkStart w:id="53" w:name="_Toc206768607"/>
      <w:r w:rsidRPr="00AB3B09">
        <w:t>Propreté du site</w:t>
      </w:r>
      <w:bookmarkEnd w:id="53"/>
    </w:p>
    <w:p w14:paraId="232F9D45" w14:textId="5D74E6D7" w:rsidR="00292F0C" w:rsidRPr="00AB3B09" w:rsidRDefault="00292F0C" w:rsidP="00292F0C">
      <w:r w:rsidRPr="00AB3B09">
        <w:t>Au-delà des mesures relatives à l'hygiène et à la sécurité prévues à l'article 31 du CCAG-Travaux, le titulaire est soumis au respect des prescriptions suivantes :</w:t>
      </w:r>
    </w:p>
    <w:p w14:paraId="38627D41" w14:textId="738ECFD4" w:rsidR="00292F0C" w:rsidRPr="00AB3B09" w:rsidRDefault="00292F0C" w:rsidP="002231E5">
      <w:pPr>
        <w:pStyle w:val="Paragraphedeliste"/>
        <w:numPr>
          <w:ilvl w:val="0"/>
          <w:numId w:val="34"/>
        </w:numPr>
      </w:pPr>
      <w:r w:rsidRPr="00AB3B09">
        <w:t>Par com</w:t>
      </w:r>
      <w:r w:rsidR="00843D45" w:rsidRPr="00AB3B09">
        <w:t>plément à l'article 31.4.2 CCAG-</w:t>
      </w:r>
      <w:r w:rsidRPr="00AB3B09">
        <w:t>Travaux, les locaux destinés aux personnels et les installations annexes de chantiers doivent être maintenus par le titulaire en parfait état de propreté y compris leur aspect extérieur : retrait de l’affichage et remise en peinture éventuellement.</w:t>
      </w:r>
    </w:p>
    <w:p w14:paraId="4F10BEAA" w14:textId="20484636" w:rsidR="00292F0C" w:rsidRPr="00AB3B09" w:rsidRDefault="00292F0C" w:rsidP="002231E5">
      <w:pPr>
        <w:pStyle w:val="Paragraphedeliste"/>
        <w:numPr>
          <w:ilvl w:val="0"/>
          <w:numId w:val="34"/>
        </w:numPr>
      </w:pPr>
      <w:r w:rsidRPr="00AB3B09">
        <w:t>Par</w:t>
      </w:r>
      <w:r w:rsidR="00843D45" w:rsidRPr="00AB3B09">
        <w:t xml:space="preserve"> complément à l'</w:t>
      </w:r>
      <w:r w:rsidR="00F435DB" w:rsidRPr="00AB3B09">
        <w:t>article 36</w:t>
      </w:r>
      <w:r w:rsidR="00843D45" w:rsidRPr="00AB3B09">
        <w:t xml:space="preserve"> CCAG-</w:t>
      </w:r>
      <w:r w:rsidRPr="00AB3B09">
        <w:t>Travaux, le titulaire prend également toutes dispositions pour éviter tout dépôt de déchets sur le chantier.</w:t>
      </w:r>
    </w:p>
    <w:p w14:paraId="27DA4330" w14:textId="6FA5F133" w:rsidR="002543BF" w:rsidRPr="00AB3B09" w:rsidRDefault="00292F0C" w:rsidP="00292F0C">
      <w:r w:rsidRPr="00AB3B09">
        <w:t>Ces mesures sont prises spontanément par le titulaire. A défaut, le maître d’œuvre prescrit, par ordre de service, l’exécution des travaux de propreté manquants et le délai dans lequel ils sont exécutés.</w:t>
      </w:r>
    </w:p>
    <w:p w14:paraId="36682808" w14:textId="096F3AE7" w:rsidR="002543BF" w:rsidRPr="00AB3B09" w:rsidRDefault="0076684F" w:rsidP="0052665B">
      <w:pPr>
        <w:pStyle w:val="Titre3"/>
      </w:pPr>
      <w:bookmarkStart w:id="54" w:name="_Toc206768608"/>
      <w:r w:rsidRPr="00AB3B09">
        <w:t>Gestion des déchets</w:t>
      </w:r>
      <w:bookmarkEnd w:id="54"/>
      <w:r w:rsidRPr="00AB3B09">
        <w:t xml:space="preserve"> </w:t>
      </w:r>
    </w:p>
    <w:p w14:paraId="4F80578D" w14:textId="1B14C1C1" w:rsidR="002543BF" w:rsidRPr="00AB3B09" w:rsidRDefault="002543BF" w:rsidP="54A2575E">
      <w:pPr>
        <w:rPr>
          <w:rFonts w:eastAsia="Calibri" w:cs="Arial"/>
          <w:szCs w:val="20"/>
        </w:rPr>
      </w:pPr>
      <w:r w:rsidRPr="00AB3B09">
        <w:t xml:space="preserve">La valorisation ou l’élimination des déchets créés par les travaux, objet du marché, est de la </w:t>
      </w:r>
      <w:r w:rsidR="72A9A28D" w:rsidRPr="00AB3B09">
        <w:t>responsabilité de</w:t>
      </w:r>
      <w:r w:rsidR="00EB223F" w:rsidRPr="00AB3B09">
        <w:t xml:space="preserve"> l’Inserm</w:t>
      </w:r>
      <w:r w:rsidRPr="00AB3B09">
        <w:t xml:space="preserve"> en tant que « producteur » de déchets et du titulaire en tant que « détenteur » de déchets, pendant la durée du chantier.</w:t>
      </w:r>
    </w:p>
    <w:p w14:paraId="17552DBA" w14:textId="1F407674" w:rsidR="002543BF" w:rsidRPr="00AB3B09" w:rsidRDefault="002543BF" w:rsidP="54A2575E">
      <w:pPr>
        <w:rPr>
          <w:rFonts w:eastAsia="Calibri" w:cs="Arial"/>
          <w:szCs w:val="20"/>
        </w:rPr>
      </w:pPr>
      <w:r w:rsidRPr="00AB3B09">
        <w:t xml:space="preserve">Toutefois, le titulaire reste « producteur » de ses déchets en ce qui concerne les emballages des produits qu’il met en </w:t>
      </w:r>
      <w:r w:rsidR="00D122E7" w:rsidRPr="00AB3B09">
        <w:t>œuvre</w:t>
      </w:r>
      <w:r w:rsidRPr="00AB3B09">
        <w:t xml:space="preserve"> et les chutes résultant de ses interventions.</w:t>
      </w:r>
    </w:p>
    <w:p w14:paraId="39C800E0" w14:textId="66C474FB" w:rsidR="002543BF" w:rsidRPr="00AB3B09" w:rsidRDefault="0070452A" w:rsidP="54A2575E">
      <w:pPr>
        <w:rPr>
          <w:rFonts w:eastAsia="Calibri" w:cs="Arial"/>
          <w:szCs w:val="20"/>
        </w:rPr>
      </w:pPr>
      <w:r w:rsidRPr="00AB3B09">
        <w:t>Les</w:t>
      </w:r>
      <w:r w:rsidR="002543BF" w:rsidRPr="00AB3B09">
        <w:t xml:space="preserve"> entreprises devront faire leur affaire personnell</w:t>
      </w:r>
      <w:r w:rsidRPr="00AB3B09">
        <w:t>e des déchets qu’ils produisent ainsi que de leur valorisation.</w:t>
      </w:r>
    </w:p>
    <w:p w14:paraId="16AEB914" w14:textId="44E80F7E" w:rsidR="002543BF" w:rsidRPr="00AB3B09" w:rsidRDefault="002543BF" w:rsidP="54A2575E">
      <w:pPr>
        <w:rPr>
          <w:rFonts w:eastAsia="Calibri" w:cs="Arial"/>
          <w:szCs w:val="20"/>
        </w:rPr>
      </w:pPr>
      <w:r w:rsidRPr="00AB3B09">
        <w:t xml:space="preserve">Conformément à l’article 36.2 du CCAG-Travaux, afin que </w:t>
      </w:r>
      <w:r w:rsidR="00EB223F" w:rsidRPr="00AB3B09">
        <w:t>l’Inserm</w:t>
      </w:r>
      <w:r w:rsidRPr="00AB3B09">
        <w:t xml:space="preserve"> puisse s’assurer de la traçabilité des déchets et matériaux issus du chantier, le titulaire lui fournit les éléments de cette traçabilité, notamment grâce à l’usage de bordereaux de suivi des déchets de chantier.</w:t>
      </w:r>
    </w:p>
    <w:p w14:paraId="3E340703" w14:textId="52694845" w:rsidR="002543BF" w:rsidRPr="00AB3B09" w:rsidRDefault="002543BF" w:rsidP="54A2575E">
      <w:pPr>
        <w:rPr>
          <w:rFonts w:eastAsia="Calibri" w:cs="Arial"/>
          <w:szCs w:val="20"/>
        </w:rPr>
      </w:pPr>
      <w:r w:rsidRPr="00AB3B09">
        <w:t xml:space="preserve">Ainsi, le titulaire remet </w:t>
      </w:r>
      <w:r w:rsidR="00EB223F" w:rsidRPr="00AB3B09">
        <w:t>à l’Inserm</w:t>
      </w:r>
      <w:r w:rsidRPr="00AB3B09">
        <w:t>, avec copie au maître d’</w:t>
      </w:r>
      <w:r w:rsidR="0070452A" w:rsidRPr="00AB3B09">
        <w:t>œuvre</w:t>
      </w:r>
      <w:r w:rsidRPr="00AB3B09">
        <w:t>, les constats d’évacuation des déchets signés contradictoirement par le titulaire et les gestionnaires des installations autorisées ou agréées de valorisation ou d’élimination des déchets.</w:t>
      </w:r>
    </w:p>
    <w:p w14:paraId="6317C2B3" w14:textId="3693589E" w:rsidR="002543BF" w:rsidRPr="00AB3B09" w:rsidRDefault="002543BF" w:rsidP="54A2575E">
      <w:pPr>
        <w:rPr>
          <w:rFonts w:eastAsia="Calibri" w:cs="Arial"/>
          <w:szCs w:val="20"/>
        </w:rPr>
      </w:pPr>
      <w:r w:rsidRPr="00AB3B09">
        <w:t>Pour les déchets dangereux, l’usage d’un bordereau de suivi conforme à la réglementation en vigueur est obligatoire.</w:t>
      </w:r>
    </w:p>
    <w:p w14:paraId="0AB5CF1E" w14:textId="7A4E862F" w:rsidR="00C457BD" w:rsidRPr="00AB3B09" w:rsidRDefault="002543BF" w:rsidP="54A2575E">
      <w:pPr>
        <w:rPr>
          <w:rFonts w:eastAsia="Calibri" w:cs="Arial"/>
          <w:szCs w:val="20"/>
        </w:rPr>
      </w:pPr>
      <w:r w:rsidRPr="00AB3B09">
        <w:t>Lorsqu’il aura été constaté que le titulaire n’a pas procédé à l’évacuation des déchets provenant de la démolition ou de la construction, il sera fait application de l’article 37.2 du CCAG-Travaux.</w:t>
      </w:r>
    </w:p>
    <w:p w14:paraId="061007DB" w14:textId="77777777" w:rsidR="002543BF" w:rsidRPr="00AB3B09" w:rsidRDefault="002543BF" w:rsidP="002543BF">
      <w:pPr>
        <w:pStyle w:val="Paragraphedeliste"/>
      </w:pPr>
    </w:p>
    <w:p w14:paraId="02F91879" w14:textId="77777777" w:rsidR="0076684F" w:rsidRPr="00AB3B09" w:rsidRDefault="0076684F" w:rsidP="00C75F24">
      <w:pPr>
        <w:pStyle w:val="Titre2"/>
      </w:pPr>
      <w:bookmarkStart w:id="55" w:name="_Toc62633076"/>
      <w:bookmarkStart w:id="56" w:name="_Toc206768609"/>
      <w:r w:rsidRPr="00AB3B09">
        <w:t>Achèvement des travaux</w:t>
      </w:r>
      <w:bookmarkEnd w:id="55"/>
      <w:bookmarkEnd w:id="56"/>
    </w:p>
    <w:p w14:paraId="292C9680" w14:textId="77777777" w:rsidR="0076684F" w:rsidRPr="00AB3B09" w:rsidRDefault="0076684F" w:rsidP="0052665B">
      <w:pPr>
        <w:pStyle w:val="Titre3"/>
        <w:rPr>
          <w:rFonts w:eastAsia="Arial" w:cs="Arial"/>
        </w:rPr>
      </w:pPr>
      <w:bookmarkStart w:id="57" w:name="_Toc206768610"/>
      <w:r w:rsidRPr="00AB3B09">
        <w:t>Réception des travaux</w:t>
      </w:r>
      <w:bookmarkEnd w:id="57"/>
      <w:r w:rsidRPr="00AB3B09">
        <w:t xml:space="preserve"> </w:t>
      </w:r>
    </w:p>
    <w:p w14:paraId="692C7D10" w14:textId="2AD98208" w:rsidR="006E0D6E" w:rsidRPr="00AB3B09" w:rsidRDefault="006E0D6E" w:rsidP="34DD3CF9">
      <w:r w:rsidRPr="00AB3B09">
        <w:t>A la demande du titulaire</w:t>
      </w:r>
      <w:r w:rsidR="007628DA" w:rsidRPr="00AB3B09">
        <w:t>,</w:t>
      </w:r>
      <w:r w:rsidRPr="00AB3B09">
        <w:t xml:space="preserve"> lorsque les travaux sont terminés, </w:t>
      </w:r>
      <w:r w:rsidR="007628DA" w:rsidRPr="00AB3B09">
        <w:t xml:space="preserve">un </w:t>
      </w:r>
      <w:r w:rsidRPr="00AB3B09">
        <w:t>procès-verbal des opérations préalables à la réception est rédigé</w:t>
      </w:r>
      <w:r w:rsidR="007628DA" w:rsidRPr="00AB3B09">
        <w:t xml:space="preserve"> sous la forme d’un formulaire EXE 4</w:t>
      </w:r>
      <w:r w:rsidRPr="00AB3B09">
        <w:t xml:space="preserve">. </w:t>
      </w:r>
    </w:p>
    <w:p w14:paraId="30E8DBAC" w14:textId="413B47C4" w:rsidR="006E0D6E" w:rsidRPr="00AB3B09" w:rsidRDefault="007628DA" w:rsidP="34DD3CF9">
      <w:r w:rsidRPr="00AB3B09">
        <w:t xml:space="preserve">Les propositions du maitre d’œuvre sont indiquées au sein d’un formulaire EXE 5 qui reprend notamment les réserves émises par celui-ci. </w:t>
      </w:r>
    </w:p>
    <w:p w14:paraId="13125A3B" w14:textId="276D7448" w:rsidR="006E0D6E" w:rsidRPr="00AB3B09" w:rsidRDefault="007628DA" w:rsidP="34DD3CF9">
      <w:r w:rsidRPr="00AB3B09">
        <w:t>Enfin,</w:t>
      </w:r>
      <w:r w:rsidR="006E0D6E" w:rsidRPr="00AB3B09">
        <w:t xml:space="preserve"> le ti</w:t>
      </w:r>
      <w:r w:rsidRPr="00AB3B09">
        <w:t xml:space="preserve">tulaire doit lever les réserves à travers une décision de réception qui prend la forme d’un formulaire EXE 6. </w:t>
      </w:r>
    </w:p>
    <w:p w14:paraId="7A87A9AE" w14:textId="549D483B" w:rsidR="00843D45" w:rsidRPr="00AB3B09" w:rsidRDefault="00843D45" w:rsidP="007E695D">
      <w:r w:rsidRPr="00AB3B09">
        <w:t>Les dispositions de l’article 41 du CCAG-Travaux</w:t>
      </w:r>
      <w:r w:rsidR="007E695D" w:rsidRPr="00AB3B09">
        <w:t xml:space="preserve"> sont seules applicables.</w:t>
      </w:r>
    </w:p>
    <w:p w14:paraId="005207E6" w14:textId="60ED298B" w:rsidR="00C457BD" w:rsidRPr="00AB3B09" w:rsidRDefault="007628DA" w:rsidP="0052665B">
      <w:pPr>
        <w:pStyle w:val="Titre3"/>
      </w:pPr>
      <w:bookmarkStart w:id="58" w:name="_Toc206768611"/>
      <w:r w:rsidRPr="00AB3B09">
        <w:t>Remise du Dossier des ouvrages exécutés (DOE)</w:t>
      </w:r>
      <w:bookmarkEnd w:id="58"/>
    </w:p>
    <w:p w14:paraId="6FCA9FDC" w14:textId="55DBFC54" w:rsidR="007E695D" w:rsidRPr="00AB3B09" w:rsidRDefault="00891D8F" w:rsidP="34DD3CF9">
      <w:pPr>
        <w:rPr>
          <w:strike/>
        </w:rPr>
      </w:pPr>
      <w:r w:rsidRPr="00AB3B09">
        <w:t>Conformément à l’article 40 du CCAG-Travaux, l</w:t>
      </w:r>
      <w:r w:rsidR="007E695D" w:rsidRPr="00AB3B09">
        <w:t>e titulaire remet au maître d'œuvre dans le délai défini ci-dessous les éléments constitutifs du DOE</w:t>
      </w:r>
      <w:r w:rsidR="007628DA" w:rsidRPr="00AB3B09">
        <w:t xml:space="preserve"> (Dossier des ouvrages exécutés) :</w:t>
      </w:r>
    </w:p>
    <w:p w14:paraId="4B63AED6" w14:textId="77777777" w:rsidR="007E695D" w:rsidRPr="00AB3B09" w:rsidRDefault="007E695D" w:rsidP="34DD3CF9">
      <w:r w:rsidRPr="00AB3B09">
        <w:t>Le contenu du DOE est fixé comme suit :</w:t>
      </w:r>
    </w:p>
    <w:p w14:paraId="401022CD" w14:textId="3746C1F8" w:rsidR="007E695D" w:rsidRPr="00AB3B09" w:rsidRDefault="007E695D" w:rsidP="003E0C5A">
      <w:pPr>
        <w:pStyle w:val="Paragraphedeliste"/>
        <w:numPr>
          <w:ilvl w:val="0"/>
          <w:numId w:val="21"/>
        </w:numPr>
      </w:pPr>
      <w:r w:rsidRPr="00AB3B09">
        <w:t>Les plans d’ensemble et de détails, les plans de récolement conformes aux ouvrages exécutés établis par le titulaire ;</w:t>
      </w:r>
    </w:p>
    <w:p w14:paraId="375577F2" w14:textId="03680005" w:rsidR="007E695D" w:rsidRPr="00AB3B09" w:rsidRDefault="007E695D" w:rsidP="003E0C5A">
      <w:pPr>
        <w:pStyle w:val="Paragraphedeliste"/>
        <w:numPr>
          <w:ilvl w:val="0"/>
          <w:numId w:val="21"/>
        </w:numPr>
      </w:pPr>
      <w:r w:rsidRPr="00AB3B09">
        <w:t xml:space="preserve">Les notices de fonctionnement et d’entretien des ouvrages, les spécifications de pose, les prescriptions de maintenance des éléments d’équipement mis en </w:t>
      </w:r>
      <w:r w:rsidR="71C60ECA" w:rsidRPr="00AB3B09">
        <w:t>œuvre</w:t>
      </w:r>
      <w:r w:rsidRPr="00AB3B09">
        <w:t xml:space="preserve"> établis ou collectés par l’entrepreneur, les conditions de garantie des fabricants attachées à ces équipements ;</w:t>
      </w:r>
    </w:p>
    <w:p w14:paraId="64E75FCB" w14:textId="6DD60BE9" w:rsidR="007E695D" w:rsidRPr="00AB3B09" w:rsidRDefault="007E695D" w:rsidP="003E0C5A">
      <w:pPr>
        <w:pStyle w:val="Paragraphedeliste"/>
        <w:numPr>
          <w:ilvl w:val="0"/>
          <w:numId w:val="21"/>
        </w:numPr>
      </w:pPr>
      <w:r w:rsidRPr="00AB3B09">
        <w:t>Les constats d’évacuation des déchets.</w:t>
      </w:r>
    </w:p>
    <w:p w14:paraId="186DF17C" w14:textId="74714DAD" w:rsidR="007E695D" w:rsidRPr="00AB3B09" w:rsidRDefault="007E695D" w:rsidP="34DD3CF9">
      <w:r w:rsidRPr="00AB3B09">
        <w:t>Par dé</w:t>
      </w:r>
      <w:r w:rsidR="00891D8F" w:rsidRPr="00AB3B09">
        <w:t>rogation à l’article 40 du CCAG-</w:t>
      </w:r>
      <w:r w:rsidRPr="00AB3B09">
        <w:t xml:space="preserve">Travaux, l’ensemble des documents à remettre après exécution doivent être remis au maître d'œuvre au plus tard </w:t>
      </w:r>
      <w:r w:rsidR="007628DA" w:rsidRPr="00AB3B09">
        <w:t>un mois après la date de réception des travaux indiquée dans le formulaire EXE 6</w:t>
      </w:r>
      <w:r w:rsidRPr="00AB3B09">
        <w:t>.</w:t>
      </w:r>
    </w:p>
    <w:p w14:paraId="21A92419" w14:textId="486F0EBF" w:rsidR="0076684F" w:rsidRPr="00AB3B09" w:rsidRDefault="007628DA" w:rsidP="0076684F">
      <w:r w:rsidRPr="00AB3B09">
        <w:t xml:space="preserve">Le titulaire devra fournir </w:t>
      </w:r>
      <w:proofErr w:type="gramStart"/>
      <w:r w:rsidR="68147272" w:rsidRPr="00AB3B09">
        <w:t>a</w:t>
      </w:r>
      <w:proofErr w:type="gramEnd"/>
      <w:r w:rsidRPr="00AB3B09">
        <w:t xml:space="preserve"> minima un exemplaire physique et un exemplaire numérique du DOE. </w:t>
      </w:r>
    </w:p>
    <w:p w14:paraId="70DAA833" w14:textId="3FB42BA7" w:rsidR="0076684F" w:rsidRPr="00AB3B09" w:rsidRDefault="0076684F" w:rsidP="0052665B">
      <w:pPr>
        <w:pStyle w:val="Titre3"/>
      </w:pPr>
      <w:bookmarkStart w:id="59" w:name="_Toc206768612"/>
      <w:r w:rsidRPr="00AB3B09">
        <w:t>Remise en état des lieux</w:t>
      </w:r>
      <w:bookmarkEnd w:id="59"/>
      <w:r w:rsidRPr="00AB3B09">
        <w:t xml:space="preserve"> </w:t>
      </w:r>
    </w:p>
    <w:p w14:paraId="38ACE5DF" w14:textId="77777777" w:rsidR="00654147" w:rsidRPr="00AB3B09" w:rsidRDefault="00654147" w:rsidP="00654147">
      <w:r w:rsidRPr="00AB3B09">
        <w:t>Le titulaire est responsable de la propreté sur l’ensemble du chantier.</w:t>
      </w:r>
    </w:p>
    <w:p w14:paraId="72823221" w14:textId="1024E71A" w:rsidR="00654147" w:rsidRPr="00AB3B09" w:rsidRDefault="00DE4C04" w:rsidP="3C698118">
      <w:pPr>
        <w:rPr>
          <w:rFonts w:eastAsia="Arial" w:cs="Arial"/>
        </w:rPr>
      </w:pPr>
      <w:r w:rsidRPr="00AB3B09">
        <w:rPr>
          <w:rFonts w:eastAsia="Arial" w:cs="Arial"/>
        </w:rPr>
        <w:t xml:space="preserve">Le titulaire </w:t>
      </w:r>
      <w:r w:rsidR="00654147" w:rsidRPr="00AB3B09">
        <w:rPr>
          <w:rFonts w:eastAsia="Arial" w:cs="Arial"/>
        </w:rPr>
        <w:t>devra évacuer tous les déchets, gravois, etc. au fur et à mesure de leur production, quelle que soit leur origine, et</w:t>
      </w:r>
      <w:r w:rsidR="02C94647" w:rsidRPr="00AB3B09">
        <w:rPr>
          <w:rFonts w:eastAsia="Arial" w:cs="Arial"/>
        </w:rPr>
        <w:t xml:space="preserve"> il en fera son affaire le dépôt des déchets</w:t>
      </w:r>
      <w:r w:rsidR="621BB8DF" w:rsidRPr="00AB3B09">
        <w:rPr>
          <w:rFonts w:eastAsia="Arial" w:cs="Arial"/>
        </w:rPr>
        <w:t xml:space="preserve"> (déchetterie, centre de tri...)</w:t>
      </w:r>
      <w:r w:rsidR="02C94647" w:rsidRPr="00AB3B09">
        <w:rPr>
          <w:rFonts w:eastAsia="Arial" w:cs="Arial"/>
        </w:rPr>
        <w:t>.</w:t>
      </w:r>
      <w:r w:rsidR="00654147" w:rsidRPr="00AB3B09">
        <w:rPr>
          <w:rFonts w:eastAsia="Arial" w:cs="Arial"/>
        </w:rPr>
        <w:t xml:space="preserve">  Après chaque intervention en un lieu donné, </w:t>
      </w:r>
      <w:r w:rsidR="59629219" w:rsidRPr="00AB3B09">
        <w:rPr>
          <w:rFonts w:eastAsia="Arial" w:cs="Arial"/>
        </w:rPr>
        <w:t xml:space="preserve">il </w:t>
      </w:r>
      <w:r w:rsidR="00654147" w:rsidRPr="00AB3B09">
        <w:rPr>
          <w:rFonts w:eastAsia="Arial" w:cs="Arial"/>
        </w:rPr>
        <w:t>devra laisser l'emplacement propre et libre de tous déchets.</w:t>
      </w:r>
    </w:p>
    <w:p w14:paraId="1982C2FD" w14:textId="62A350F6" w:rsidR="00654147" w:rsidRPr="00AB3B09" w:rsidRDefault="5580F482" w:rsidP="3C698118">
      <w:pPr>
        <w:rPr>
          <w:rFonts w:eastAsia="Arial" w:cs="Arial"/>
        </w:rPr>
      </w:pPr>
      <w:r w:rsidRPr="00AB3B09">
        <w:rPr>
          <w:rFonts w:eastAsia="Arial" w:cs="Arial"/>
        </w:rPr>
        <w:t>[</w:t>
      </w:r>
      <w:r w:rsidR="68485A6C" w:rsidRPr="00AB3B09">
        <w:rPr>
          <w:rFonts w:eastAsia="Arial" w:cs="Arial"/>
        </w:rPr>
        <w:t>Préciser le délai de remise en état</w:t>
      </w:r>
      <w:r w:rsidR="6F0992C2" w:rsidRPr="00AB3B09">
        <w:rPr>
          <w:rFonts w:eastAsia="Arial" w:cs="Arial"/>
        </w:rPr>
        <w:t>]</w:t>
      </w:r>
      <w:r w:rsidR="68485A6C" w:rsidRPr="00AB3B09">
        <w:rPr>
          <w:rFonts w:eastAsia="Arial" w:cs="Arial"/>
        </w:rPr>
        <w:t xml:space="preserve"> </w:t>
      </w:r>
    </w:p>
    <w:p w14:paraId="21AF53FE" w14:textId="35F6FD01" w:rsidR="00654147" w:rsidRPr="00AB3B09" w:rsidRDefault="00654147" w:rsidP="3C698118">
      <w:pPr>
        <w:rPr>
          <w:rFonts w:eastAsia="Arial" w:cs="Arial"/>
        </w:rPr>
      </w:pPr>
      <w:r w:rsidRPr="00AB3B09">
        <w:rPr>
          <w:rFonts w:eastAsia="Arial" w:cs="Arial"/>
        </w:rPr>
        <w:t>Les stipulat</w:t>
      </w:r>
      <w:r w:rsidR="00755658" w:rsidRPr="00AB3B09">
        <w:rPr>
          <w:rFonts w:eastAsia="Arial" w:cs="Arial"/>
        </w:rPr>
        <w:t>ions du CCAG</w:t>
      </w:r>
      <w:r w:rsidRPr="00AB3B09">
        <w:rPr>
          <w:rFonts w:eastAsia="Arial" w:cs="Arial"/>
        </w:rPr>
        <w:t>-Travaux sont applicables.</w:t>
      </w:r>
    </w:p>
    <w:p w14:paraId="08B44762" w14:textId="653720CE" w:rsidR="00654147" w:rsidRPr="00AB3B09" w:rsidRDefault="00654147" w:rsidP="00654147">
      <w:r w:rsidRPr="00AB3B09">
        <w:rPr>
          <w:rFonts w:eastAsia="Arial" w:cs="Arial"/>
        </w:rPr>
        <w:t>L’ensemble du chantier et tous les emplacements où le</w:t>
      </w:r>
      <w:r w:rsidR="00DE4C04" w:rsidRPr="00AB3B09">
        <w:rPr>
          <w:rFonts w:eastAsia="Arial" w:cs="Arial"/>
        </w:rPr>
        <w:t xml:space="preserve"> titulaire aura été </w:t>
      </w:r>
      <w:r w:rsidR="00D122E7" w:rsidRPr="00AB3B09">
        <w:rPr>
          <w:rFonts w:eastAsia="Arial" w:cs="Arial"/>
        </w:rPr>
        <w:t>autorisé à</w:t>
      </w:r>
      <w:r w:rsidRPr="00AB3B09">
        <w:rPr>
          <w:rFonts w:eastAsia="Arial" w:cs="Arial"/>
        </w:rPr>
        <w:t xml:space="preserve"> circuler ou à déposer leurs matériaux, seront nettoyés journellement. </w:t>
      </w:r>
      <w:r w:rsidRPr="00AB3B09">
        <w:t>Le titulaire devr</w:t>
      </w:r>
      <w:r w:rsidR="00DE4C04" w:rsidRPr="00AB3B09">
        <w:t>a</w:t>
      </w:r>
      <w:r w:rsidRPr="00AB3B09">
        <w:t xml:space="preserve"> exécuter en complément des nettoyages prévus ci-dessus, tous ceux demandés par le représentant </w:t>
      </w:r>
      <w:r w:rsidR="00EB223F" w:rsidRPr="00AB3B09">
        <w:t>habilité de l’Inserm</w:t>
      </w:r>
      <w:r w:rsidRPr="00AB3B09">
        <w:t xml:space="preserve"> et à quelque moment que ce soit. </w:t>
      </w:r>
      <w:r w:rsidR="00DE4C04" w:rsidRPr="00AB3B09">
        <w:t>Le titulaire est tenu</w:t>
      </w:r>
      <w:r w:rsidRPr="00AB3B09">
        <w:t xml:space="preserve"> pour responsable de la propreté du chantier ainsi que de l'enlèvement de</w:t>
      </w:r>
      <w:r w:rsidR="00DE4C04" w:rsidRPr="00AB3B09">
        <w:t>s</w:t>
      </w:r>
      <w:r w:rsidRPr="00AB3B09">
        <w:t xml:space="preserve"> gravois y compris droit de décharge jusqu'à la fin de leur intervention.</w:t>
      </w:r>
    </w:p>
    <w:p w14:paraId="7F9CC90C" w14:textId="5E8451CD" w:rsidR="3C698118" w:rsidRPr="00AB3B09" w:rsidRDefault="35884AAE" w:rsidP="00D43347">
      <w:pPr>
        <w:spacing w:after="0"/>
        <w:jc w:val="left"/>
        <w:rPr>
          <w:rFonts w:cs="Arial"/>
        </w:rPr>
      </w:pPr>
      <w:r w:rsidRPr="00AB3B09">
        <w:rPr>
          <w:rFonts w:cs="Arial"/>
        </w:rPr>
        <w:t>Le titulaire s'engage à n’effectuer aucun dépôt de toute nature sur la voie publique.</w:t>
      </w:r>
    </w:p>
    <w:p w14:paraId="694D3674" w14:textId="32D98967" w:rsidR="009F0389" w:rsidRPr="00AB3B09" w:rsidRDefault="00654147" w:rsidP="54A2575E">
      <w:pPr>
        <w:rPr>
          <w:b/>
          <w:bCs/>
        </w:rPr>
      </w:pPr>
      <w:r w:rsidRPr="00AB3B09">
        <w:t>Les dépenses correspondantes s</w:t>
      </w:r>
      <w:r w:rsidR="00DE4C04" w:rsidRPr="00AB3B09">
        <w:t xml:space="preserve">ont incluses dans le montant du marché. </w:t>
      </w:r>
    </w:p>
    <w:p w14:paraId="4492D3A6" w14:textId="2BF1B58A" w:rsidR="54A2575E" w:rsidRPr="00AB3B09" w:rsidRDefault="54A2575E" w:rsidP="54A2575E">
      <w:pPr>
        <w:rPr>
          <w:rFonts w:eastAsia="Calibri" w:cs="Arial"/>
          <w:szCs w:val="20"/>
        </w:rPr>
      </w:pPr>
    </w:p>
    <w:p w14:paraId="0F73938F" w14:textId="5BD04F8D" w:rsidR="0076684F" w:rsidRPr="00AB3B09" w:rsidRDefault="0076684F" w:rsidP="0076684F">
      <w:pPr>
        <w:pStyle w:val="Titre1"/>
      </w:pPr>
      <w:bookmarkStart w:id="60" w:name="_Toc62633077"/>
      <w:bookmarkStart w:id="61" w:name="_Toc206768613"/>
      <w:r w:rsidRPr="00AB3B09">
        <w:t>Exécution financière du marché</w:t>
      </w:r>
      <w:bookmarkEnd w:id="31"/>
      <w:bookmarkEnd w:id="60"/>
      <w:bookmarkEnd w:id="61"/>
    </w:p>
    <w:p w14:paraId="284A1F4F" w14:textId="0650D02C" w:rsidR="0076684F" w:rsidRPr="00AB3B09" w:rsidRDefault="00F46BE1" w:rsidP="00C75F24">
      <w:pPr>
        <w:pStyle w:val="Titre2"/>
      </w:pPr>
      <w:bookmarkStart w:id="62" w:name="_Toc206768614"/>
      <w:r w:rsidRPr="00AB3B09">
        <w:t>Montant du marché</w:t>
      </w:r>
      <w:bookmarkEnd w:id="62"/>
    </w:p>
    <w:p w14:paraId="628E4D62" w14:textId="04AF0D52" w:rsidR="006F71E7" w:rsidRPr="00AB3B09" w:rsidRDefault="00D4239A" w:rsidP="3C698118">
      <w:pPr>
        <w:rPr>
          <w:rFonts w:eastAsia="Arial" w:cs="Arial"/>
        </w:rPr>
      </w:pPr>
      <w:r w:rsidRPr="00AB3B09">
        <w:t>Les travaux faisant l'objet du marché sont réglés par application d’un prix global et forfaitaire</w:t>
      </w:r>
      <w:r w:rsidR="00307945" w:rsidRPr="00AB3B09">
        <w:t xml:space="preserve"> tel que figurant dans l’acte d’engagement</w:t>
      </w:r>
      <w:r w:rsidRPr="00AB3B09">
        <w:t>. Il comprend l’ensemble des travaux nécessaires à la parfaite exécution de l’ouvrage.</w:t>
      </w:r>
    </w:p>
    <w:p w14:paraId="3B33D76F" w14:textId="5240B7D5" w:rsidR="00BF54A0" w:rsidRPr="00AB3B09" w:rsidRDefault="00493BFB" w:rsidP="3C698118">
      <w:pPr>
        <w:rPr>
          <w:rFonts w:eastAsia="Arial" w:cs="Arial"/>
        </w:rPr>
      </w:pPr>
      <w:r w:rsidRPr="00AB3B09">
        <w:rPr>
          <w:rFonts w:eastAsia="Arial" w:cs="Arial"/>
        </w:rPr>
        <w:t>La décomposition du</w:t>
      </w:r>
      <w:r w:rsidR="00BF54A0" w:rsidRPr="00AB3B09">
        <w:rPr>
          <w:rFonts w:eastAsia="Arial" w:cs="Arial"/>
        </w:rPr>
        <w:t xml:space="preserve"> prix global e</w:t>
      </w:r>
      <w:r w:rsidR="003370D2" w:rsidRPr="00AB3B09">
        <w:rPr>
          <w:rFonts w:eastAsia="Arial" w:cs="Arial"/>
        </w:rPr>
        <w:t>t</w:t>
      </w:r>
      <w:r w:rsidR="00BF54A0" w:rsidRPr="00AB3B09">
        <w:rPr>
          <w:rFonts w:eastAsia="Arial" w:cs="Arial"/>
        </w:rPr>
        <w:t xml:space="preserve"> forfaitaire est détaillé</w:t>
      </w:r>
      <w:r w:rsidRPr="00AB3B09">
        <w:rPr>
          <w:rFonts w:eastAsia="Arial" w:cs="Arial"/>
        </w:rPr>
        <w:t>e</w:t>
      </w:r>
      <w:r w:rsidR="00F435DB" w:rsidRPr="00AB3B09">
        <w:rPr>
          <w:rFonts w:eastAsia="Arial" w:cs="Arial"/>
        </w:rPr>
        <w:t xml:space="preserve"> dans l’article 2</w:t>
      </w:r>
      <w:r w:rsidR="00BF54A0" w:rsidRPr="00AB3B09">
        <w:rPr>
          <w:rFonts w:eastAsia="Arial" w:cs="Arial"/>
        </w:rPr>
        <w:t xml:space="preserve"> à l’acte d’engagement constituant la décomposition du prix et global et forfaitaire (DPGF).</w:t>
      </w:r>
    </w:p>
    <w:p w14:paraId="79299573" w14:textId="3E59A39C" w:rsidR="00307945" w:rsidRPr="00AB3B09" w:rsidRDefault="00307945" w:rsidP="00D4239A">
      <w:r w:rsidRPr="00AB3B09">
        <w:t>Au sein de la DPGF, seuls sont contractuels les prix unitaires qui servent de référence pour déterminer les prix nouveaux des éventuels travaux supplémentaires ou modificatifs dont la réalisation est nécessaire au bon achèvement de l’ouvrage.</w:t>
      </w:r>
    </w:p>
    <w:p w14:paraId="795162C3" w14:textId="071B7A20" w:rsidR="006F71E7" w:rsidRPr="00AB3B09" w:rsidRDefault="006F71E7" w:rsidP="0076684F">
      <w:r w:rsidRPr="00AB3B09">
        <w:t>Les prix du marché sont mentionnés hors TVA.</w:t>
      </w:r>
    </w:p>
    <w:p w14:paraId="668388B7" w14:textId="77777777" w:rsidR="0077297D" w:rsidRPr="00AB3B09" w:rsidRDefault="0077297D" w:rsidP="0076684F"/>
    <w:p w14:paraId="3E9FD904" w14:textId="77777777" w:rsidR="0076684F" w:rsidRPr="000032FA" w:rsidRDefault="0076684F" w:rsidP="00C75F24">
      <w:pPr>
        <w:pStyle w:val="Titre2"/>
      </w:pPr>
      <w:bookmarkStart w:id="63" w:name="_Toc62633079"/>
      <w:bookmarkStart w:id="64" w:name="_Toc206768615"/>
      <w:r w:rsidRPr="000032FA">
        <w:t>Variation des prix</w:t>
      </w:r>
      <w:bookmarkEnd w:id="63"/>
      <w:bookmarkEnd w:id="64"/>
    </w:p>
    <w:p w14:paraId="01CA75B1" w14:textId="77777777" w:rsidR="000032FA" w:rsidRDefault="000032FA" w:rsidP="000032FA">
      <w:r>
        <w:t xml:space="preserve">Les prix sont fermes, non révisables et actualisables selon les conditions suivantes : </w:t>
      </w:r>
    </w:p>
    <w:p w14:paraId="4F11C737" w14:textId="77777777" w:rsidR="000032FA" w:rsidRDefault="000032FA" w:rsidP="000032FA">
      <w:r>
        <w:rPr>
          <w:rFonts w:eastAsia="Arial" w:cs="Arial"/>
          <w:szCs w:val="20"/>
        </w:rPr>
        <w:t>Le prix sera actualisé si un délai supérieur à trois mois s’écoule entre la date à laquelle le soumissionnaire a fixé son prix dans l’offre et la date de début d’exécution des prestations ;</w:t>
      </w:r>
    </w:p>
    <w:p w14:paraId="7814607F" w14:textId="77777777" w:rsidR="000032FA" w:rsidRDefault="000032FA" w:rsidP="000032FA">
      <w:r>
        <w:rPr>
          <w:rFonts w:eastAsia="Arial" w:cs="Arial"/>
          <w:szCs w:val="20"/>
        </w:rPr>
        <w:t>L’actualisation se fera aux conditions économiques correspondant à une date antérieure de trois mois à la date de début d’exécution des prestations.</w:t>
      </w:r>
    </w:p>
    <w:p w14:paraId="3D714EDF" w14:textId="7D4CE4FD" w:rsidR="000032FA" w:rsidRPr="003D5D4E" w:rsidRDefault="003D5D4E" w:rsidP="0076684F">
      <w:pPr>
        <w:rPr>
          <w:lang w:val="it-IT"/>
        </w:rPr>
      </w:pPr>
      <w:r w:rsidRPr="003D5D4E">
        <w:rPr>
          <w:lang w:val="it-IT"/>
        </w:rPr>
        <w:t>Indice BT : 100 % BT 47 : Ele</w:t>
      </w:r>
      <w:r>
        <w:rPr>
          <w:lang w:val="it-IT"/>
        </w:rPr>
        <w:t>ctricité</w:t>
      </w:r>
    </w:p>
    <w:p w14:paraId="39EE627E" w14:textId="77777777" w:rsidR="00C457BD" w:rsidRPr="003D5D4E" w:rsidRDefault="00C457BD" w:rsidP="0076684F">
      <w:pPr>
        <w:rPr>
          <w:lang w:val="it-IT"/>
        </w:rPr>
      </w:pPr>
    </w:p>
    <w:p w14:paraId="00CF38EF" w14:textId="77777777" w:rsidR="0076684F" w:rsidRPr="00AB3B09" w:rsidRDefault="0076684F" w:rsidP="00C75F24">
      <w:pPr>
        <w:pStyle w:val="Titre2"/>
      </w:pPr>
      <w:bookmarkStart w:id="65" w:name="_Toc62633080"/>
      <w:bookmarkStart w:id="66" w:name="_Toc206768616"/>
      <w:r w:rsidRPr="00AB3B09">
        <w:t>Versement de l’avance</w:t>
      </w:r>
      <w:bookmarkEnd w:id="65"/>
      <w:bookmarkEnd w:id="66"/>
    </w:p>
    <w:p w14:paraId="28C7E585" w14:textId="0D83AD25" w:rsidR="0076684F" w:rsidRPr="00AB3B09" w:rsidRDefault="0076684F" w:rsidP="0052665B">
      <w:pPr>
        <w:pStyle w:val="Titre3"/>
      </w:pPr>
      <w:bookmarkStart w:id="67" w:name="_Toc206768617"/>
      <w:r w:rsidRPr="00AB3B09">
        <w:t>Au titulaire</w:t>
      </w:r>
      <w:bookmarkEnd w:id="67"/>
    </w:p>
    <w:p w14:paraId="17BCD7BE" w14:textId="77777777" w:rsidR="0076684F" w:rsidRPr="00AB3B09" w:rsidRDefault="0076684F" w:rsidP="0076684F">
      <w:r w:rsidRPr="00AB3B09">
        <w:t>Sauf renonciation expresse du titulaire dans l’acte d’engagement, une avance est versée au titulaire, dans les conditions prévues aux articles R.2191-1 à R.2191-10 du Code de la commande publique.</w:t>
      </w:r>
    </w:p>
    <w:p w14:paraId="42AD4A62" w14:textId="77777777" w:rsidR="0076684F" w:rsidRPr="00AB3B09" w:rsidRDefault="0076684F" w:rsidP="0076684F">
      <w:r w:rsidRPr="00AB3B09">
        <w:t>L’avance est calculée comme suit :</w:t>
      </w:r>
    </w:p>
    <w:p w14:paraId="0D0B7632" w14:textId="77777777" w:rsidR="0076684F" w:rsidRPr="00AB3B09" w:rsidRDefault="0076684F" w:rsidP="003E0C5A">
      <w:pPr>
        <w:pStyle w:val="Paragraphedeliste"/>
        <w:numPr>
          <w:ilvl w:val="0"/>
          <w:numId w:val="17"/>
        </w:numPr>
      </w:pPr>
      <w:r w:rsidRPr="00AB3B09">
        <w:t>Lorsque le marché est d’une durée inférieure ou égale à 12 mois, le montant de l’avance est fixé à 5 % du montant initial TTC du marché public ;</w:t>
      </w:r>
    </w:p>
    <w:p w14:paraId="30E720D8" w14:textId="767D1912" w:rsidR="0076684F" w:rsidRPr="00AB3B09" w:rsidRDefault="0076684F" w:rsidP="003E0C5A">
      <w:pPr>
        <w:pStyle w:val="Paragraphedeliste"/>
        <w:numPr>
          <w:ilvl w:val="0"/>
          <w:numId w:val="17"/>
        </w:numPr>
      </w:pPr>
      <w:r w:rsidRPr="00AB3B09">
        <w:t>Lorsque le marché est d’une durée supérieure à 12 mois, le montant de l’avance est fixé à 5 % d’une somme égale à 12 fois le montant initial TTC du marché public divisé par la durée exprimée en mois.</w:t>
      </w:r>
    </w:p>
    <w:p w14:paraId="326EF9EA" w14:textId="77777777" w:rsidR="00ED7A17" w:rsidRPr="00AB3B09" w:rsidRDefault="0076684F" w:rsidP="00ED7A17">
      <w:r w:rsidRPr="00AB3B09">
        <w:t>Toutefois le taux de l'avance est porté à 10 % lorsque le titulaire du marché public ou son sous-traitant admis au paiement direct est une petite et moyenne entreprise mentionnée à l'article R. 2151-13 du Code de la commande publique.</w:t>
      </w:r>
    </w:p>
    <w:p w14:paraId="16505E82" w14:textId="0C910476" w:rsidR="0076684F" w:rsidRPr="00AB3B09" w:rsidRDefault="0076684F" w:rsidP="00ED7A17">
      <w:r w:rsidRPr="00AB3B09">
        <w:t>L’avance n'est due au titulaire du marché que sur la part du marché qui ne fait pas l'objet de sous-traitance directe. Le montant de l’avance n’est pas révisable.</w:t>
      </w:r>
    </w:p>
    <w:p w14:paraId="24465561" w14:textId="77777777" w:rsidR="0076684F" w:rsidRPr="00AB3B09" w:rsidRDefault="0076684F" w:rsidP="0076684F">
      <w:r w:rsidRPr="00AB3B09">
        <w:t xml:space="preserve">L’avance est remboursée dans les conditions prévues aux articles R.2191-11 et R.2191-12 du code de la commande publique. </w:t>
      </w:r>
    </w:p>
    <w:p w14:paraId="39462DE6" w14:textId="74EF7A64" w:rsidR="0076684F" w:rsidRPr="00AB3B09" w:rsidRDefault="0076684F" w:rsidP="0052665B">
      <w:pPr>
        <w:pStyle w:val="Titre3"/>
      </w:pPr>
      <w:bookmarkStart w:id="68" w:name="_Toc206768618"/>
      <w:r w:rsidRPr="00AB3B09">
        <w:t>Aux sous-traitants</w:t>
      </w:r>
      <w:bookmarkEnd w:id="68"/>
    </w:p>
    <w:p w14:paraId="545BAB38" w14:textId="77777777" w:rsidR="0076684F" w:rsidRPr="00AB3B09" w:rsidRDefault="0076684F" w:rsidP="0076684F">
      <w:r w:rsidRPr="00AB3B09">
        <w:t>Une avance est versée, sur leur demande, aux sous-traitants bénéficiant du paiement direct.</w:t>
      </w:r>
    </w:p>
    <w:p w14:paraId="5BC454F0" w14:textId="77777777" w:rsidR="0076684F" w:rsidRPr="00AB3B09" w:rsidRDefault="0076684F" w:rsidP="0076684F">
      <w:r w:rsidRPr="00AB3B09">
        <w:t xml:space="preserve">Si l’avance a été versée en totalité au titulaire, celui-ci remboursera l’avance correspondant au montant des prestations sous-traitées même si le sous-traitant ne peut pas ou ne souhaite pas en bénéficier. </w:t>
      </w:r>
    </w:p>
    <w:p w14:paraId="094D9A61" w14:textId="5402F066" w:rsidR="00963BBA" w:rsidRPr="00AB3B09" w:rsidRDefault="0076684F" w:rsidP="0076684F">
      <w:r w:rsidRPr="00AB3B09">
        <w:t>Le versement de cette avance, dont le montant est égal à 5% du montant des prestations sous-traitées, et son remboursement sont effectués à la diligence du titulaire qui prévoit ce versement et ce remboursement pour fixer le montant des sommes devant faire l’objet d’un paiement au profit du sous-traitant.</w:t>
      </w:r>
    </w:p>
    <w:p w14:paraId="6A9CE9CD" w14:textId="0FAAECE6" w:rsidR="0076684F" w:rsidRPr="00AB3B09" w:rsidRDefault="78D4EF79" w:rsidP="00C75F24">
      <w:pPr>
        <w:pStyle w:val="Titre2"/>
      </w:pPr>
      <w:bookmarkStart w:id="69" w:name="_Toc62633081"/>
      <w:bookmarkStart w:id="70" w:name="_Toc206768619"/>
      <w:r w:rsidRPr="00AB3B09">
        <w:t>Acomptes</w:t>
      </w:r>
      <w:bookmarkEnd w:id="69"/>
      <w:bookmarkEnd w:id="70"/>
    </w:p>
    <w:p w14:paraId="6DE9AA10" w14:textId="1CF1A4C6" w:rsidR="009C206C" w:rsidRPr="00AB3B09" w:rsidRDefault="007857B0" w:rsidP="0076684F">
      <w:r w:rsidRPr="00266726">
        <w:t xml:space="preserve">Le règlement des comptes est effectué mensuellement, par acompte, suivant les dispositions de </w:t>
      </w:r>
      <w:r w:rsidR="00F435DB" w:rsidRPr="00266726">
        <w:t>l’article 12.2</w:t>
      </w:r>
      <w:r w:rsidR="00247E81" w:rsidRPr="00266726">
        <w:t xml:space="preserve"> du CCA</w:t>
      </w:r>
      <w:r w:rsidRPr="00266726">
        <w:t>G-Travaux.</w:t>
      </w:r>
    </w:p>
    <w:p w14:paraId="65F7C79A" w14:textId="77777777" w:rsidR="007857B0" w:rsidRPr="00AB3B09" w:rsidRDefault="007857B0" w:rsidP="0076684F"/>
    <w:p w14:paraId="5965C07A" w14:textId="208BF746" w:rsidR="0076684F" w:rsidRPr="00AB3B09" w:rsidRDefault="0076684F" w:rsidP="00C75F24">
      <w:pPr>
        <w:pStyle w:val="Titre2"/>
      </w:pPr>
      <w:bookmarkStart w:id="71" w:name="_Toc206768620"/>
      <w:bookmarkStart w:id="72" w:name="_Toc62633082"/>
      <w:r w:rsidRPr="00AB3B09">
        <w:t>Retenue sur garantie</w:t>
      </w:r>
      <w:bookmarkEnd w:id="71"/>
      <w:r w:rsidRPr="00AB3B09">
        <w:t xml:space="preserve"> </w:t>
      </w:r>
      <w:bookmarkEnd w:id="72"/>
    </w:p>
    <w:p w14:paraId="3DA7160E" w14:textId="77777777" w:rsidR="00F435DB" w:rsidRPr="00AB3B09" w:rsidRDefault="00F435DB" w:rsidP="00F435DB">
      <w:pPr>
        <w:rPr>
          <w:rFonts w:eastAsia="Arial" w:cs="Arial"/>
          <w:szCs w:val="20"/>
        </w:rPr>
      </w:pPr>
      <w:r w:rsidRPr="00AB3B09">
        <w:rPr>
          <w:rFonts w:eastAsia="Arial" w:cs="Arial"/>
          <w:szCs w:val="20"/>
        </w:rPr>
        <w:t>Une retenue de garantie de 5.00 % du montant initial du marché (augmenté le cas échéant du montant des avenants) sera constituée. Cette retenue de garantie sera prélevée sur le montant de chaque acompte par le comptable assignataire des paiements.</w:t>
      </w:r>
    </w:p>
    <w:p w14:paraId="4E05DB0C" w14:textId="77777777" w:rsidR="00F435DB" w:rsidRPr="00AB3B09" w:rsidRDefault="00F435DB" w:rsidP="00F435DB">
      <w:pPr>
        <w:rPr>
          <w:rFonts w:eastAsia="Arial" w:cs="Arial"/>
          <w:szCs w:val="20"/>
        </w:rPr>
      </w:pPr>
      <w:r w:rsidRPr="00AB3B09">
        <w:rPr>
          <w:rFonts w:eastAsia="Arial" w:cs="Arial"/>
          <w:szCs w:val="20"/>
        </w:rPr>
        <w:t>Cette retenue de garantie peut être remplacée au gré du titulaire par une garantie à première demande. En revanche, il ne sera pas accepté de caution personnelle et solidaire.</w:t>
      </w:r>
    </w:p>
    <w:p w14:paraId="449A5485" w14:textId="77777777" w:rsidR="00CC169F" w:rsidRPr="00AB3B09" w:rsidRDefault="00CC169F" w:rsidP="0076684F"/>
    <w:p w14:paraId="2836C0D9" w14:textId="249CDB55" w:rsidR="0076684F" w:rsidRPr="00AB3B09" w:rsidRDefault="78D4EF79" w:rsidP="00C75F24">
      <w:pPr>
        <w:pStyle w:val="Titre2"/>
      </w:pPr>
      <w:bookmarkStart w:id="73" w:name="_Toc62633083"/>
      <w:bookmarkStart w:id="74" w:name="_Toc206768621"/>
      <w:r w:rsidRPr="00AB3B09">
        <w:t>Règlement des comptes du titulaire</w:t>
      </w:r>
      <w:bookmarkEnd w:id="73"/>
      <w:bookmarkEnd w:id="74"/>
    </w:p>
    <w:p w14:paraId="7C0CA542" w14:textId="6BA4DD34" w:rsidR="00DE4C04" w:rsidRPr="00AB3B09" w:rsidRDefault="00DE4C04" w:rsidP="0076684F">
      <w:r w:rsidRPr="00AB3B09">
        <w:t>Les comptes sont réglés mensuellement, suivant les dispositions de l’</w:t>
      </w:r>
      <w:r w:rsidR="00F435DB" w:rsidRPr="00AB3B09">
        <w:t>article 12.1</w:t>
      </w:r>
      <w:r w:rsidRPr="00AB3B09">
        <w:t xml:space="preserve"> du CCAG</w:t>
      </w:r>
      <w:r w:rsidR="5DADD340" w:rsidRPr="00AB3B09">
        <w:t>-</w:t>
      </w:r>
      <w:r w:rsidRPr="00AB3B09">
        <w:t>Travaux. Les projets de décomptes seront présentés en état cumulatif depuis le début des travaux.</w:t>
      </w:r>
    </w:p>
    <w:p w14:paraId="117CABC8" w14:textId="113DD785" w:rsidR="00C457BD" w:rsidRPr="00AB3B09" w:rsidRDefault="0076684F" w:rsidP="0076684F">
      <w:pPr>
        <w:rPr>
          <w:b/>
        </w:rPr>
      </w:pPr>
      <w:r w:rsidRPr="00AB3B09">
        <w:t xml:space="preserve">L’ordonnateur chargé d’émettre le titre de paiement est le Délégué régional de l’Inserm Délégation </w:t>
      </w:r>
      <w:r w:rsidR="00F435DB" w:rsidRPr="00AB3B09">
        <w:rPr>
          <w:b/>
        </w:rPr>
        <w:t>Monsieur Dominique Pella</w:t>
      </w:r>
    </w:p>
    <w:p w14:paraId="71954938" w14:textId="513AD6EE" w:rsidR="0076684F" w:rsidRPr="00AB3B09" w:rsidRDefault="0076684F" w:rsidP="0076684F">
      <w:r w:rsidRPr="00AB3B09">
        <w:t xml:space="preserve">Le comptable assignataire de la dépense chargé du paiement est l’Agent Comptable secondaire de l'Inserm Délégation </w:t>
      </w:r>
      <w:r w:rsidR="00542E53" w:rsidRPr="00542E53">
        <w:rPr>
          <w:b/>
          <w:bCs/>
        </w:rPr>
        <w:t>Madame Miroslava Ménard</w:t>
      </w:r>
      <w:r w:rsidRPr="00AB3B09">
        <w:t>.</w:t>
      </w:r>
    </w:p>
    <w:p w14:paraId="0726E055" w14:textId="7E4C74C6" w:rsidR="0076684F" w:rsidRPr="00AB3B09" w:rsidRDefault="0076684F" w:rsidP="0076684F">
      <w:r w:rsidRPr="00AB3B09">
        <w:t xml:space="preserve">Le fonctionnaire habilité à fournir les renseignements prévus par la réglementation sur le nantissement des marchés est le Délégué régional </w:t>
      </w:r>
      <w:r w:rsidR="00E957C0" w:rsidRPr="00AB3B09">
        <w:t>Monsieur Dominique Pella</w:t>
      </w:r>
      <w:r w:rsidRPr="00AB3B09">
        <w:t xml:space="preserve"> de l’Inserm.</w:t>
      </w:r>
    </w:p>
    <w:p w14:paraId="7978E16F" w14:textId="77777777" w:rsidR="0076684F" w:rsidRPr="00AB3B09" w:rsidRDefault="0076684F" w:rsidP="0076684F">
      <w:r w:rsidRPr="00AB3B09">
        <w:t>L’ordonnateur secondaire, l’Agent Comptable secondaire et le fonctionnaire habilité à fournir les renseignements prévus par la réglementation sur le nantissement des marchés sont établis à :</w:t>
      </w:r>
    </w:p>
    <w:p w14:paraId="2D6D673F" w14:textId="30E1F7A4" w:rsidR="0076684F" w:rsidRPr="00AB3B09" w:rsidRDefault="0076684F" w:rsidP="0076684F">
      <w:pPr>
        <w:pStyle w:val="Corpsdetexte"/>
        <w:jc w:val="center"/>
        <w:rPr>
          <w:b/>
          <w:sz w:val="20"/>
        </w:rPr>
      </w:pPr>
      <w:r w:rsidRPr="00AB3B09">
        <w:rPr>
          <w:b/>
          <w:sz w:val="20"/>
        </w:rPr>
        <w:t xml:space="preserve">Inserm - Délégation Régionale </w:t>
      </w:r>
      <w:r w:rsidR="00364DAC" w:rsidRPr="00AB3B09">
        <w:rPr>
          <w:b/>
          <w:sz w:val="20"/>
        </w:rPr>
        <w:t>Auvergne Rhône-Alpes</w:t>
      </w:r>
    </w:p>
    <w:p w14:paraId="591EA28B" w14:textId="77777777" w:rsidR="0076684F" w:rsidRPr="00AB3B09" w:rsidRDefault="0076684F" w:rsidP="0076684F">
      <w:pPr>
        <w:pStyle w:val="Corpsdetexte"/>
        <w:jc w:val="center"/>
        <w:rPr>
          <w:b/>
          <w:sz w:val="20"/>
        </w:rPr>
      </w:pPr>
      <w:r w:rsidRPr="00AB3B09">
        <w:rPr>
          <w:b/>
          <w:sz w:val="20"/>
        </w:rPr>
        <w:t>Agent comptable secondaire</w:t>
      </w:r>
    </w:p>
    <w:p w14:paraId="0060FAD3" w14:textId="77777777" w:rsidR="00364DAC" w:rsidRPr="00AB3B09" w:rsidRDefault="00364DAC" w:rsidP="00364DAC">
      <w:pPr>
        <w:pStyle w:val="Corpsdetexte"/>
        <w:jc w:val="center"/>
        <w:rPr>
          <w:b/>
          <w:sz w:val="20"/>
        </w:rPr>
      </w:pPr>
      <w:r w:rsidRPr="00AB3B09">
        <w:rPr>
          <w:b/>
          <w:sz w:val="20"/>
        </w:rPr>
        <w:t>Centre Hospitalier du Vinatier / Bât 452</w:t>
      </w:r>
    </w:p>
    <w:p w14:paraId="2383288D" w14:textId="77777777" w:rsidR="00364DAC" w:rsidRPr="00AB3B09" w:rsidRDefault="00364DAC" w:rsidP="00364DAC">
      <w:pPr>
        <w:pStyle w:val="Corpsdetexte"/>
        <w:jc w:val="center"/>
        <w:rPr>
          <w:b/>
          <w:sz w:val="20"/>
        </w:rPr>
      </w:pPr>
      <w:r w:rsidRPr="00AB3B09">
        <w:rPr>
          <w:b/>
          <w:sz w:val="20"/>
        </w:rPr>
        <w:t>95, boulevard Pinel</w:t>
      </w:r>
    </w:p>
    <w:p w14:paraId="6A04F186" w14:textId="77777777" w:rsidR="00364DAC" w:rsidRPr="00AB3B09" w:rsidRDefault="00364DAC" w:rsidP="00364DAC">
      <w:pPr>
        <w:pStyle w:val="Corpsdetexte"/>
        <w:jc w:val="center"/>
        <w:rPr>
          <w:b/>
          <w:sz w:val="20"/>
        </w:rPr>
      </w:pPr>
      <w:r w:rsidRPr="00AB3B09">
        <w:rPr>
          <w:b/>
          <w:sz w:val="20"/>
        </w:rPr>
        <w:t>69500 BRON Cedex</w:t>
      </w:r>
    </w:p>
    <w:p w14:paraId="45BDE453" w14:textId="7FC82977" w:rsidR="0076684F" w:rsidRPr="00AB3B09" w:rsidRDefault="00F34C8E" w:rsidP="00364DAC">
      <w:pPr>
        <w:pStyle w:val="Corpsdetexte"/>
        <w:jc w:val="center"/>
        <w:rPr>
          <w:b/>
          <w:sz w:val="20"/>
        </w:rPr>
      </w:pPr>
      <w:r w:rsidRPr="00AB3B09">
        <w:rPr>
          <w:b/>
          <w:sz w:val="20"/>
        </w:rPr>
        <w:t>SIRET : 18003604802268</w:t>
      </w:r>
    </w:p>
    <w:p w14:paraId="438E5833" w14:textId="77777777" w:rsidR="00C457BD" w:rsidRPr="00AB3B09" w:rsidRDefault="00C457BD" w:rsidP="0076684F">
      <w:pPr>
        <w:pStyle w:val="Corpsdetexte"/>
        <w:jc w:val="center"/>
        <w:rPr>
          <w:sz w:val="20"/>
        </w:rPr>
      </w:pPr>
    </w:p>
    <w:p w14:paraId="20ED2317" w14:textId="35F6F81D" w:rsidR="0076684F" w:rsidRPr="00AB3B09" w:rsidRDefault="0076684F" w:rsidP="00C75F24">
      <w:pPr>
        <w:pStyle w:val="Titre2"/>
      </w:pPr>
      <w:bookmarkStart w:id="75" w:name="_Toc62633084"/>
      <w:bookmarkStart w:id="76" w:name="_Toc206768622"/>
      <w:r w:rsidRPr="00AB3B09">
        <w:t>Présentation des demandes de paiement</w:t>
      </w:r>
      <w:bookmarkEnd w:id="75"/>
      <w:bookmarkEnd w:id="76"/>
    </w:p>
    <w:p w14:paraId="4467E227" w14:textId="77777777" w:rsidR="0076684F" w:rsidRPr="00AB3B09" w:rsidRDefault="0076684F" w:rsidP="0076684F">
      <w:r w:rsidRPr="00AB3B09">
        <w:t>Que ce soit pour des acomptes ou pour le solde, les demandes de paiement doivent présenter les indications suivantes :</w:t>
      </w:r>
    </w:p>
    <w:p w14:paraId="605BBFDE" w14:textId="77777777" w:rsidR="0076684F" w:rsidRPr="00AB3B09" w:rsidRDefault="0076684F" w:rsidP="003E0C5A">
      <w:pPr>
        <w:pStyle w:val="Paragraphedeliste"/>
        <w:numPr>
          <w:ilvl w:val="0"/>
          <w:numId w:val="16"/>
        </w:numPr>
      </w:pPr>
      <w:r w:rsidRPr="00AB3B09">
        <w:t>La date d’émission de la demande de paiement (ou facture) ;</w:t>
      </w:r>
    </w:p>
    <w:p w14:paraId="3ADC8F5A" w14:textId="77777777" w:rsidR="0076684F" w:rsidRPr="00AB3B09" w:rsidRDefault="0076684F" w:rsidP="003E0C5A">
      <w:pPr>
        <w:pStyle w:val="Paragraphedeliste"/>
        <w:numPr>
          <w:ilvl w:val="0"/>
          <w:numId w:val="16"/>
        </w:numPr>
      </w:pPr>
      <w:r w:rsidRPr="00AB3B09">
        <w:t>Le nom, l’adresse et le numéro de SIRET de l’émetteur et du destinataire de la demande de paiement ;</w:t>
      </w:r>
    </w:p>
    <w:p w14:paraId="3A743228" w14:textId="77777777" w:rsidR="0076684F" w:rsidRPr="00AB3B09" w:rsidRDefault="0076684F" w:rsidP="003E0C5A">
      <w:pPr>
        <w:pStyle w:val="Paragraphedeliste"/>
        <w:numPr>
          <w:ilvl w:val="0"/>
          <w:numId w:val="16"/>
        </w:numPr>
      </w:pPr>
      <w:r w:rsidRPr="00AB3B09">
        <w:t>Le numéro unique basé sur une séquence chronologique et continue établie par l’émetteur de la demande de paiement, la numérotation pouvant être établie dans ces conditions sur une ou plusieurs séries ;</w:t>
      </w:r>
    </w:p>
    <w:p w14:paraId="16B506CB" w14:textId="77777777" w:rsidR="0076684F" w:rsidRPr="00AB3B09" w:rsidRDefault="0076684F" w:rsidP="003E0C5A">
      <w:pPr>
        <w:pStyle w:val="Paragraphedeliste"/>
        <w:numPr>
          <w:ilvl w:val="0"/>
          <w:numId w:val="16"/>
        </w:numPr>
      </w:pPr>
      <w:r w:rsidRPr="00AB3B09">
        <w:t>Le numéro de marché ;</w:t>
      </w:r>
    </w:p>
    <w:p w14:paraId="39D2608E" w14:textId="149A0894" w:rsidR="0076684F" w:rsidRPr="00AB3B09" w:rsidRDefault="0076684F" w:rsidP="003E0C5A">
      <w:pPr>
        <w:pStyle w:val="Paragraphedeliste"/>
        <w:numPr>
          <w:ilvl w:val="0"/>
          <w:numId w:val="16"/>
        </w:numPr>
      </w:pPr>
      <w:r w:rsidRPr="00AB3B09">
        <w:t>Le numéro de bon de commande ;</w:t>
      </w:r>
    </w:p>
    <w:p w14:paraId="56CEF403" w14:textId="77777777" w:rsidR="0076684F" w:rsidRPr="00AB3B09" w:rsidRDefault="0076684F" w:rsidP="003E0C5A">
      <w:pPr>
        <w:pStyle w:val="Paragraphedeliste"/>
        <w:numPr>
          <w:ilvl w:val="0"/>
          <w:numId w:val="16"/>
        </w:numPr>
      </w:pPr>
      <w:r w:rsidRPr="00AB3B09">
        <w:t>La ou les dates de livraison des fournitures ou d’exécution des services ou des travaux ;</w:t>
      </w:r>
    </w:p>
    <w:p w14:paraId="5C73FB6B" w14:textId="77777777" w:rsidR="0076684F" w:rsidRPr="00AB3B09" w:rsidRDefault="0076684F" w:rsidP="003E0C5A">
      <w:pPr>
        <w:pStyle w:val="Paragraphedeliste"/>
        <w:numPr>
          <w:ilvl w:val="0"/>
          <w:numId w:val="16"/>
        </w:numPr>
      </w:pPr>
      <w:r w:rsidRPr="00AB3B09">
        <w:t>La quantité et la dénomination précise des produits livrés, des prestations et travaux réalisés ;</w:t>
      </w:r>
    </w:p>
    <w:p w14:paraId="68811A06" w14:textId="77777777" w:rsidR="0076684F" w:rsidRPr="00AB3B09" w:rsidRDefault="0076684F" w:rsidP="003E0C5A">
      <w:pPr>
        <w:pStyle w:val="Paragraphedeliste"/>
        <w:numPr>
          <w:ilvl w:val="0"/>
          <w:numId w:val="16"/>
        </w:numPr>
      </w:pPr>
      <w:r w:rsidRPr="00AB3B09">
        <w:t>Le prix unitaire hors taxes des produits livrés, des prestations et travaux réalisés ou, lorsqu’il y a lieu, leur prix forfaitaire tel qu’indiqué dans l’acte d’engagement et ses annexes ;</w:t>
      </w:r>
    </w:p>
    <w:p w14:paraId="3BD0566F" w14:textId="77777777" w:rsidR="0076684F" w:rsidRPr="00AB3B09" w:rsidRDefault="0076684F" w:rsidP="003E0C5A">
      <w:pPr>
        <w:pStyle w:val="Paragraphedeliste"/>
        <w:numPr>
          <w:ilvl w:val="0"/>
          <w:numId w:val="16"/>
        </w:numPr>
      </w:pPr>
      <w:r w:rsidRPr="00AB3B09">
        <w:t>Le montant total hors taxes et le montant de la taxe à payer, ainsi que la répartition de ces montants par taux de taxe sur la valeur ajoutée, ou, le cas échéant, le bénéfice d’une exonération ;</w:t>
      </w:r>
    </w:p>
    <w:p w14:paraId="4290BCA3" w14:textId="77777777" w:rsidR="0076684F" w:rsidRPr="00AB3B09" w:rsidRDefault="0076684F" w:rsidP="003E0C5A">
      <w:pPr>
        <w:pStyle w:val="Paragraphedeliste"/>
        <w:numPr>
          <w:ilvl w:val="0"/>
          <w:numId w:val="16"/>
        </w:numPr>
      </w:pPr>
      <w:r w:rsidRPr="00AB3B09">
        <w:t>Le cas échéant, les modalités particulières de règlement ;</w:t>
      </w:r>
    </w:p>
    <w:p w14:paraId="45A18AA9" w14:textId="77777777" w:rsidR="0076684F" w:rsidRPr="00AB3B09" w:rsidRDefault="0076684F" w:rsidP="003E0C5A">
      <w:pPr>
        <w:pStyle w:val="Paragraphedeliste"/>
        <w:numPr>
          <w:ilvl w:val="0"/>
          <w:numId w:val="16"/>
        </w:numPr>
      </w:pPr>
      <w:r w:rsidRPr="00AB3B09">
        <w:t>Le cas échéant, les renseignements relatifs aux déductions ou versements complémentaires ;</w:t>
      </w:r>
    </w:p>
    <w:p w14:paraId="6151603E" w14:textId="77777777" w:rsidR="0076684F" w:rsidRPr="00AB3B09" w:rsidRDefault="0076684F" w:rsidP="003E0C5A">
      <w:pPr>
        <w:pStyle w:val="Paragraphedeliste"/>
        <w:numPr>
          <w:ilvl w:val="0"/>
          <w:numId w:val="16"/>
        </w:numPr>
      </w:pPr>
      <w:r w:rsidRPr="00AB3B09">
        <w:t>Le numéro IBAN du compte de virement identique à celui de l’acte d’engagement ;</w:t>
      </w:r>
    </w:p>
    <w:p w14:paraId="09E6051E" w14:textId="77777777" w:rsidR="0076684F" w:rsidRPr="00AB3B09" w:rsidRDefault="0076684F" w:rsidP="0076684F">
      <w:pPr>
        <w:rPr>
          <w:b/>
          <w:bCs/>
        </w:rPr>
      </w:pPr>
      <w:r w:rsidRPr="00AB3B09">
        <w:rPr>
          <w:b/>
          <w:bCs/>
        </w:rPr>
        <w:t>Si une demande de paiement ne contient pas ces mentions et indications, elle pourra faire l’objet d’un rejet.</w:t>
      </w:r>
    </w:p>
    <w:p w14:paraId="585EF42A" w14:textId="428E80EC" w:rsidR="0076684F" w:rsidRPr="00AB3B09" w:rsidRDefault="0076684F" w:rsidP="0076684F">
      <w:r w:rsidRPr="00AB3B09">
        <w:t xml:space="preserve">La demande </w:t>
      </w:r>
      <w:r w:rsidR="00392587" w:rsidRPr="00AB3B09">
        <w:t xml:space="preserve">de </w:t>
      </w:r>
      <w:r w:rsidRPr="00AB3B09">
        <w:t>paiement sera transmise sous forme électronique via portail mutualisé de l’Etat CHORUS PRO :</w:t>
      </w:r>
    </w:p>
    <w:p w14:paraId="4DC9C5CD" w14:textId="77777777" w:rsidR="0076684F" w:rsidRPr="00AB3B09" w:rsidRDefault="0076684F" w:rsidP="0076684F">
      <w:r w:rsidRPr="00AB3B09">
        <w:t>Au choix du créancier, cette transmission est effectuée selon l’une des trois modalités suivantes :</w:t>
      </w:r>
    </w:p>
    <w:p w14:paraId="50B61B72" w14:textId="77777777" w:rsidR="0076684F" w:rsidRPr="00AB3B09" w:rsidRDefault="0076684F" w:rsidP="003E0C5A">
      <w:pPr>
        <w:pStyle w:val="Paragraphedeliste"/>
        <w:numPr>
          <w:ilvl w:val="0"/>
          <w:numId w:val="19"/>
        </w:numPr>
      </w:pPr>
      <w:r w:rsidRPr="00AB3B09">
        <w:t xml:space="preserve">Par flux d’échange de données informatisées. Dans ce cas, les formats acceptés sont ceux qui figurent à l’adresse suivante : </w:t>
      </w:r>
      <w:hyperlink r:id="rId20">
        <w:r w:rsidRPr="00AB3B09">
          <w:rPr>
            <w:rStyle w:val="Lienhypertexte"/>
          </w:rPr>
          <w:t>https://communaute.chorus-pro.gouv.fr/</w:t>
        </w:r>
      </w:hyperlink>
      <w:r w:rsidRPr="00AB3B09">
        <w:t> ;</w:t>
      </w:r>
    </w:p>
    <w:p w14:paraId="7547B350" w14:textId="77777777" w:rsidR="0076684F" w:rsidRPr="00AB3B09" w:rsidRDefault="0076684F" w:rsidP="003E0C5A">
      <w:pPr>
        <w:pStyle w:val="Paragraphedeliste"/>
        <w:numPr>
          <w:ilvl w:val="0"/>
          <w:numId w:val="19"/>
        </w:numPr>
      </w:pPr>
      <w:r w:rsidRPr="00AB3B09">
        <w:t>Par dépôt au format PDF ;</w:t>
      </w:r>
    </w:p>
    <w:p w14:paraId="5AB6E82A" w14:textId="77777777" w:rsidR="0076684F" w:rsidRPr="00AB3B09" w:rsidRDefault="0076684F" w:rsidP="003E0C5A">
      <w:pPr>
        <w:pStyle w:val="Paragraphedeliste"/>
        <w:numPr>
          <w:ilvl w:val="0"/>
          <w:numId w:val="19"/>
        </w:numPr>
      </w:pPr>
      <w:r w:rsidRPr="00AB3B09">
        <w:t>Par saisie en ligne dans le portail ;</w:t>
      </w:r>
    </w:p>
    <w:p w14:paraId="35F586E0" w14:textId="77777777" w:rsidR="0076684F" w:rsidRPr="00AB3B09" w:rsidRDefault="0076684F" w:rsidP="0076684F">
      <w:r w:rsidRPr="00AB3B09">
        <w:t>Les informations à faire figurer dans l’entête de la demande de paiement sont :</w:t>
      </w:r>
    </w:p>
    <w:p w14:paraId="2743FD45" w14:textId="256116CB" w:rsidR="0076684F" w:rsidRPr="00AB3B09" w:rsidRDefault="0076684F" w:rsidP="003E0C5A">
      <w:pPr>
        <w:pStyle w:val="Paragraphedeliste"/>
        <w:numPr>
          <w:ilvl w:val="0"/>
          <w:numId w:val="18"/>
        </w:numPr>
      </w:pPr>
      <w:r w:rsidRPr="00AB3B09">
        <w:t xml:space="preserve">Inserm Délégation Régionale </w:t>
      </w:r>
      <w:r w:rsidR="008C303D" w:rsidRPr="00AB3B09">
        <w:t>Auvergne Rhône-Alpes</w:t>
      </w:r>
      <w:r w:rsidRPr="00AB3B09">
        <w:t xml:space="preserve"> (SIRET : </w:t>
      </w:r>
      <w:r w:rsidR="00F34C8E" w:rsidRPr="00AB3B09">
        <w:rPr>
          <w:b/>
        </w:rPr>
        <w:t>18003604802268</w:t>
      </w:r>
      <w:r w:rsidR="00102926" w:rsidRPr="00AB3B09">
        <w:t xml:space="preserve">) </w:t>
      </w:r>
      <w:r w:rsidRPr="00AB3B09">
        <w:t xml:space="preserve">Code du service : </w:t>
      </w:r>
      <w:r w:rsidR="008C303D" w:rsidRPr="00AB3B09">
        <w:rPr>
          <w:b/>
          <w:bCs/>
        </w:rPr>
        <w:t>DRLYS</w:t>
      </w:r>
    </w:p>
    <w:p w14:paraId="7657F4E3" w14:textId="77777777" w:rsidR="0076684F" w:rsidRPr="00AB3B09" w:rsidRDefault="0076684F" w:rsidP="003E0C5A">
      <w:pPr>
        <w:pStyle w:val="Paragraphedeliste"/>
        <w:numPr>
          <w:ilvl w:val="0"/>
          <w:numId w:val="18"/>
        </w:numPr>
      </w:pPr>
      <w:r w:rsidRPr="00AB3B09">
        <w:t>Le numéro du marché</w:t>
      </w:r>
    </w:p>
    <w:p w14:paraId="275AAAD8" w14:textId="048AE74B" w:rsidR="0076684F" w:rsidRPr="00AB3B09" w:rsidRDefault="0076684F" w:rsidP="003E0C5A">
      <w:pPr>
        <w:pStyle w:val="Paragraphedeliste"/>
        <w:numPr>
          <w:ilvl w:val="0"/>
          <w:numId w:val="18"/>
        </w:numPr>
      </w:pPr>
      <w:r w:rsidRPr="00AB3B09">
        <w:t>Le numéro du bon de commande désigné « numéro d’engagement » dans CHORUS PRO</w:t>
      </w:r>
    </w:p>
    <w:p w14:paraId="5FD7E396" w14:textId="77777777" w:rsidR="0076684F" w:rsidRPr="00AB3B09" w:rsidRDefault="0076684F" w:rsidP="0076684F">
      <w:pPr>
        <w:pStyle w:val="Paragraphedeliste"/>
      </w:pPr>
    </w:p>
    <w:p w14:paraId="5C58D60B" w14:textId="2B7993F0" w:rsidR="0076684F" w:rsidRPr="00AB3B09" w:rsidRDefault="0076684F" w:rsidP="00C75F24">
      <w:pPr>
        <w:pStyle w:val="Titre2"/>
      </w:pPr>
      <w:bookmarkStart w:id="77" w:name="_Toc62633085"/>
      <w:bookmarkStart w:id="78" w:name="_Toc206768623"/>
      <w:r w:rsidRPr="00AB3B09">
        <w:t>Délais de paiement</w:t>
      </w:r>
      <w:bookmarkEnd w:id="77"/>
      <w:bookmarkEnd w:id="78"/>
    </w:p>
    <w:p w14:paraId="571838F7" w14:textId="0FC09C53" w:rsidR="0076684F" w:rsidRPr="00AB3B09" w:rsidRDefault="007A1B76" w:rsidP="0076684F">
      <w:r w:rsidRPr="00AB3B09">
        <w:t xml:space="preserve">Les sommes dues au titulaire ainsi qu’à ses sous-traitants ayant droit au paiement </w:t>
      </w:r>
      <w:r w:rsidR="00D122E7" w:rsidRPr="00AB3B09">
        <w:t>direct sont</w:t>
      </w:r>
      <w:r w:rsidRPr="00AB3B09">
        <w:t xml:space="preserve"> réglées dans un </w:t>
      </w:r>
      <w:r w:rsidR="0076684F" w:rsidRPr="00AB3B09">
        <w:t xml:space="preserve">délai global de paiement de 30 </w:t>
      </w:r>
      <w:r w:rsidR="00D122E7" w:rsidRPr="00AB3B09">
        <w:t>jours.</w:t>
      </w:r>
    </w:p>
    <w:p w14:paraId="451974FB" w14:textId="77777777" w:rsidR="007A1B76" w:rsidRPr="00AB3B09" w:rsidRDefault="007A1B76" w:rsidP="007A1B76">
      <w:r w:rsidRPr="00AB3B09">
        <w:t>Le délai global de paiement a pour point de départ :</w:t>
      </w:r>
    </w:p>
    <w:p w14:paraId="2963F19D" w14:textId="5F98F0FA" w:rsidR="007A1B76" w:rsidRPr="00AB3B09" w:rsidRDefault="007A1B76" w:rsidP="4D6827C6">
      <w:pPr>
        <w:pStyle w:val="Paragraphedeliste"/>
        <w:numPr>
          <w:ilvl w:val="0"/>
          <w:numId w:val="8"/>
        </w:numPr>
        <w:rPr>
          <w:rFonts w:asciiTheme="minorHAnsi" w:eastAsiaTheme="minorEastAsia" w:hAnsiTheme="minorHAnsi"/>
          <w:szCs w:val="20"/>
        </w:rPr>
      </w:pPr>
      <w:r w:rsidRPr="00AB3B09">
        <w:t>Pour l’avance, la date de notification de l’ordre de service de démarrage</w:t>
      </w:r>
      <w:r w:rsidR="00EB223F" w:rsidRPr="00AB3B09">
        <w:t xml:space="preserve"> des travaux</w:t>
      </w:r>
      <w:r w:rsidRPr="00AB3B09">
        <w:t>.</w:t>
      </w:r>
    </w:p>
    <w:p w14:paraId="11AD06DB" w14:textId="2CA18C93" w:rsidR="007A1B76" w:rsidRPr="00AB3B09" w:rsidRDefault="007A1B76" w:rsidP="4D6827C6">
      <w:pPr>
        <w:pStyle w:val="Paragraphedeliste"/>
        <w:numPr>
          <w:ilvl w:val="0"/>
          <w:numId w:val="8"/>
        </w:numPr>
        <w:rPr>
          <w:rFonts w:asciiTheme="minorHAnsi" w:eastAsiaTheme="minorEastAsia" w:hAnsiTheme="minorHAnsi"/>
          <w:szCs w:val="20"/>
        </w:rPr>
      </w:pPr>
      <w:r w:rsidRPr="00AB3B09">
        <w:t xml:space="preserve">Pour les acomptes dus au titulaire et les paiements dus aux sous-traitants ayant droit au paiement direct, </w:t>
      </w:r>
      <w:r w:rsidR="007857B0" w:rsidRPr="00AB3B09">
        <w:t>la réception de la demande de paiement mensuelle du titulaire par le maître d'œuvre</w:t>
      </w:r>
      <w:r w:rsidRPr="00AB3B09">
        <w:t xml:space="preserve">. Cette date est mentionnée par le Maître d’œuvre sur les certificats pour paiement transmis à </w:t>
      </w:r>
      <w:r w:rsidR="00EB223F" w:rsidRPr="00AB3B09">
        <w:t>l’Inserm</w:t>
      </w:r>
      <w:r w:rsidRPr="00AB3B09">
        <w:t>.</w:t>
      </w:r>
    </w:p>
    <w:p w14:paraId="35ECB2BC" w14:textId="0C625394" w:rsidR="007A1B76" w:rsidRPr="00AB3B09" w:rsidRDefault="007A1B76" w:rsidP="1FED48E3">
      <w:pPr>
        <w:pStyle w:val="Paragraphedeliste"/>
        <w:numPr>
          <w:ilvl w:val="0"/>
          <w:numId w:val="8"/>
        </w:numPr>
        <w:rPr>
          <w:rFonts w:asciiTheme="minorHAnsi" w:eastAsiaTheme="minorEastAsia" w:hAnsiTheme="minorHAnsi"/>
          <w:szCs w:val="20"/>
        </w:rPr>
      </w:pPr>
      <w:r w:rsidRPr="00AB3B09">
        <w:t xml:space="preserve">Pour le solde, la date d’acceptation du décompte général par l’ensemble des parties (personne publique et Entrepreneur titulaire), dans les conditions prévues aux </w:t>
      </w:r>
      <w:r w:rsidR="00A270D4" w:rsidRPr="00AB3B09">
        <w:t>articles 12.4</w:t>
      </w:r>
      <w:r w:rsidRPr="00AB3B09">
        <w:t xml:space="preserve"> du CCAG</w:t>
      </w:r>
      <w:r w:rsidR="77ACBEA8" w:rsidRPr="00AB3B09">
        <w:t>-</w:t>
      </w:r>
      <w:r w:rsidRPr="00AB3B09">
        <w:t>Travaux.</w:t>
      </w:r>
    </w:p>
    <w:p w14:paraId="09B2D934" w14:textId="77777777" w:rsidR="00FD3F41" w:rsidRPr="00AB3B09" w:rsidRDefault="00FD3F41" w:rsidP="00FD3F41">
      <w:pPr>
        <w:autoSpaceDE w:val="0"/>
        <w:autoSpaceDN w:val="0"/>
      </w:pPr>
      <w:r w:rsidRPr="00AB3B09">
        <w:t>Le délai d’intervention du maitre d’œuvre pour valider les demandes de paiement est inclus dans le délai global de paiement.</w:t>
      </w:r>
    </w:p>
    <w:p w14:paraId="3732B4A2" w14:textId="6A17AAF9" w:rsidR="007A1B76" w:rsidRPr="00AB3B09" w:rsidRDefault="007A1B76" w:rsidP="007A1B76">
      <w:r w:rsidRPr="00AB3B09">
        <w:t>La date de paiement correspond à la date de règlement par le comptable public.</w:t>
      </w:r>
    </w:p>
    <w:p w14:paraId="47B63F13" w14:textId="14B057EF" w:rsidR="0076684F" w:rsidRPr="00AB3B09" w:rsidRDefault="0076684F" w:rsidP="0076684F">
      <w:r w:rsidRPr="00AB3B09">
        <w:t>Le défaut de paiement dans le délai prévu ci-dessus fait courir de plein droit des intérêts moratoires, à partir du jour s</w:t>
      </w:r>
      <w:r w:rsidR="00102926" w:rsidRPr="00AB3B09">
        <w:t>uivant l’expiration dudit délai</w:t>
      </w:r>
      <w:r w:rsidRPr="00AB3B09">
        <w:t>.</w:t>
      </w:r>
    </w:p>
    <w:p w14:paraId="5EF81217" w14:textId="77777777" w:rsidR="00C457BD" w:rsidRPr="00AB3B09" w:rsidRDefault="00C457BD" w:rsidP="0076684F"/>
    <w:p w14:paraId="1F53C92B" w14:textId="1E79AEB3" w:rsidR="0076684F" w:rsidRPr="00AB3B09" w:rsidRDefault="0076684F" w:rsidP="00C457BD">
      <w:pPr>
        <w:pStyle w:val="Titre1"/>
      </w:pPr>
      <w:bookmarkStart w:id="79" w:name="_Toc212282916"/>
      <w:bookmarkStart w:id="80" w:name="_Toc55832418"/>
      <w:bookmarkStart w:id="81" w:name="_Toc55833411"/>
      <w:bookmarkStart w:id="82" w:name="_Toc62633086"/>
      <w:bookmarkStart w:id="83" w:name="_Toc206768624"/>
      <w:r w:rsidRPr="00AB3B09">
        <w:t xml:space="preserve">Délais </w:t>
      </w:r>
      <w:bookmarkEnd w:id="79"/>
      <w:bookmarkEnd w:id="80"/>
      <w:bookmarkEnd w:id="81"/>
      <w:r w:rsidRPr="00AB3B09">
        <w:t>d’exécution</w:t>
      </w:r>
      <w:bookmarkEnd w:id="82"/>
      <w:r w:rsidR="00C82D1E" w:rsidRPr="00AB3B09">
        <w:t xml:space="preserve"> des prestations</w:t>
      </w:r>
      <w:bookmarkEnd w:id="83"/>
    </w:p>
    <w:p w14:paraId="6C592ED1" w14:textId="38E02C8E" w:rsidR="0076684F" w:rsidRPr="00AB3B09" w:rsidRDefault="0076684F" w:rsidP="00C75F24">
      <w:pPr>
        <w:pStyle w:val="Titre2"/>
      </w:pPr>
      <w:bookmarkStart w:id="84" w:name="_Toc62633087"/>
      <w:bookmarkStart w:id="85" w:name="_Toc206768625"/>
      <w:r w:rsidRPr="00AB3B09">
        <w:t>Délais de base</w:t>
      </w:r>
      <w:bookmarkEnd w:id="84"/>
      <w:bookmarkEnd w:id="85"/>
    </w:p>
    <w:p w14:paraId="4630BC09" w14:textId="4D6D7691" w:rsidR="00493BFB" w:rsidRPr="00AB3B09" w:rsidRDefault="00493BFB" w:rsidP="1FED48E3">
      <w:pPr>
        <w:pStyle w:val="RedTxt"/>
        <w:rPr>
          <w:rFonts w:eastAsia="Arial"/>
          <w:sz w:val="20"/>
          <w:szCs w:val="20"/>
          <w:lang w:eastAsia="en-US"/>
        </w:rPr>
      </w:pPr>
      <w:r w:rsidRPr="00AB3B09">
        <w:rPr>
          <w:rFonts w:eastAsia="Arial"/>
          <w:sz w:val="20"/>
          <w:szCs w:val="20"/>
          <w:lang w:eastAsia="en-US"/>
        </w:rPr>
        <w:t>Conformément à l’article R.2182-4 du code de la commande publique, les dispositions du présent marché prennent effet à compter de sa notification.</w:t>
      </w:r>
    </w:p>
    <w:p w14:paraId="7B6A8851" w14:textId="77777777" w:rsidR="00493BFB" w:rsidRPr="00AB3B09" w:rsidRDefault="00493BFB" w:rsidP="00493BFB">
      <w:pPr>
        <w:pStyle w:val="RedTxt"/>
        <w:rPr>
          <w:rFonts w:eastAsia="Arial"/>
          <w:sz w:val="20"/>
          <w:lang w:eastAsia="en-US"/>
        </w:rPr>
      </w:pPr>
    </w:p>
    <w:p w14:paraId="56AA8B05" w14:textId="74714124" w:rsidR="00493BFB" w:rsidRPr="00AB3B09" w:rsidRDefault="00493BFB" w:rsidP="1FED48E3">
      <w:pPr>
        <w:pStyle w:val="RedTxt"/>
        <w:rPr>
          <w:rFonts w:eastAsia="Arial"/>
          <w:sz w:val="20"/>
          <w:szCs w:val="20"/>
          <w:lang w:eastAsia="en-US"/>
        </w:rPr>
      </w:pPr>
      <w:r w:rsidRPr="00AB3B09">
        <w:rPr>
          <w:rFonts w:eastAsia="Arial"/>
          <w:sz w:val="20"/>
          <w:szCs w:val="20"/>
          <w:lang w:eastAsia="en-US"/>
        </w:rPr>
        <w:t>Le titulaire est tenu de respecter les délais d’exécution du marché sous peine d’application des pénalités de retard prévues à l’</w:t>
      </w:r>
      <w:r w:rsidR="00A270D4" w:rsidRPr="00AB3B09">
        <w:rPr>
          <w:rFonts w:eastAsia="Arial"/>
          <w:sz w:val="20"/>
          <w:szCs w:val="20"/>
          <w:lang w:eastAsia="en-US"/>
        </w:rPr>
        <w:t>article 8</w:t>
      </w:r>
      <w:r w:rsidRPr="00AB3B09">
        <w:rPr>
          <w:rFonts w:eastAsia="Arial"/>
          <w:sz w:val="20"/>
          <w:szCs w:val="20"/>
          <w:lang w:eastAsia="en-US"/>
        </w:rPr>
        <w:t>.1 du présent CCAP.</w:t>
      </w:r>
    </w:p>
    <w:p w14:paraId="67A43247" w14:textId="77777777" w:rsidR="00493BFB" w:rsidRPr="00AB3B09" w:rsidRDefault="00493BFB" w:rsidP="00493BFB">
      <w:pPr>
        <w:pStyle w:val="RedTxt"/>
        <w:rPr>
          <w:rFonts w:eastAsia="Arial"/>
          <w:sz w:val="20"/>
          <w:lang w:eastAsia="en-US"/>
        </w:rPr>
      </w:pPr>
    </w:p>
    <w:p w14:paraId="136A3C3E" w14:textId="5E165172" w:rsidR="00493BFB" w:rsidRPr="00AB3B09" w:rsidRDefault="00493BFB" w:rsidP="6CCACB18">
      <w:pPr>
        <w:pStyle w:val="RedTxt"/>
        <w:rPr>
          <w:rFonts w:eastAsia="Arial"/>
          <w:sz w:val="20"/>
          <w:szCs w:val="20"/>
          <w:lang w:eastAsia="en-US"/>
        </w:rPr>
      </w:pPr>
      <w:r w:rsidRPr="00AB3B09">
        <w:rPr>
          <w:rFonts w:eastAsia="Arial"/>
          <w:sz w:val="20"/>
          <w:szCs w:val="20"/>
          <w:lang w:eastAsia="en-US"/>
        </w:rPr>
        <w:t>Le délai global d’exécution des prestations est fixé à</w:t>
      </w:r>
      <w:r w:rsidR="00E00E5B">
        <w:rPr>
          <w:rFonts w:eastAsia="Arial"/>
          <w:sz w:val="20"/>
          <w:szCs w:val="20"/>
          <w:lang w:eastAsia="en-US"/>
        </w:rPr>
        <w:t xml:space="preserve"> 23 semaines</w:t>
      </w:r>
      <w:r w:rsidRPr="00AB3B09">
        <w:rPr>
          <w:rFonts w:eastAsia="Arial"/>
          <w:sz w:val="20"/>
          <w:szCs w:val="20"/>
          <w:lang w:eastAsia="en-US"/>
        </w:rPr>
        <w:t xml:space="preserve">. </w:t>
      </w:r>
    </w:p>
    <w:p w14:paraId="66AEC0C7" w14:textId="77777777" w:rsidR="00493BFB" w:rsidRPr="00AB3B09" w:rsidRDefault="00493BFB" w:rsidP="00493BFB">
      <w:pPr>
        <w:pStyle w:val="RedTxt"/>
        <w:rPr>
          <w:rFonts w:eastAsia="Arial"/>
          <w:sz w:val="20"/>
          <w:lang w:eastAsia="en-US"/>
        </w:rPr>
      </w:pPr>
    </w:p>
    <w:p w14:paraId="6D201163" w14:textId="02564D5F" w:rsidR="00493BFB" w:rsidRPr="00AB3B09" w:rsidRDefault="00493BFB" w:rsidP="003D5D4E">
      <w:pPr>
        <w:pStyle w:val="RedTxt"/>
        <w:jc w:val="left"/>
        <w:rPr>
          <w:rFonts w:eastAsia="Arial"/>
          <w:sz w:val="20"/>
          <w:lang w:eastAsia="en-US"/>
        </w:rPr>
      </w:pPr>
      <w:r w:rsidRPr="00AB3B09">
        <w:rPr>
          <w:rFonts w:eastAsia="Arial"/>
          <w:sz w:val="20"/>
          <w:lang w:eastAsia="en-US"/>
        </w:rPr>
        <w:t xml:space="preserve">Dans ce délai global sont compris la période de préparation, </w:t>
      </w:r>
      <w:r w:rsidR="00FD7F2D" w:rsidRPr="00AB3B09">
        <w:rPr>
          <w:rFonts w:eastAsia="Arial"/>
          <w:sz w:val="20"/>
          <w:lang w:eastAsia="en-US"/>
        </w:rPr>
        <w:t xml:space="preserve">les études d’exécution, </w:t>
      </w:r>
      <w:r w:rsidRPr="00AB3B09">
        <w:rPr>
          <w:rFonts w:eastAsia="Arial"/>
          <w:sz w:val="20"/>
          <w:lang w:eastAsia="en-US"/>
        </w:rPr>
        <w:t>les travaux, le repliement des installations de chantier et la remise en état des locaux.</w:t>
      </w:r>
      <w:r w:rsidRPr="00AB3B09">
        <w:rPr>
          <w:rFonts w:eastAsia="Arial"/>
          <w:sz w:val="20"/>
          <w:lang w:eastAsia="en-US"/>
        </w:rPr>
        <w:br/>
      </w:r>
    </w:p>
    <w:p w14:paraId="5B496763" w14:textId="6F9784EF" w:rsidR="00493BFB" w:rsidRPr="00AB3B09" w:rsidRDefault="00493BFB" w:rsidP="54A2575E">
      <w:pPr>
        <w:pStyle w:val="RedTxt"/>
        <w:rPr>
          <w:rFonts w:eastAsia="Arial"/>
          <w:sz w:val="20"/>
          <w:szCs w:val="20"/>
          <w:lang w:eastAsia="en-US"/>
        </w:rPr>
      </w:pPr>
      <w:r w:rsidRPr="00AB3B09">
        <w:rPr>
          <w:rFonts w:eastAsia="Arial"/>
          <w:sz w:val="20"/>
          <w:szCs w:val="20"/>
          <w:lang w:eastAsia="en-US"/>
        </w:rPr>
        <w:t xml:space="preserve">La période de préparation démarre à compter de la date indiquée dans l’ordre de service de démarrage </w:t>
      </w:r>
      <w:r w:rsidR="6908A46A" w:rsidRPr="00AB3B09">
        <w:rPr>
          <w:rFonts w:eastAsia="Arial"/>
          <w:sz w:val="20"/>
          <w:szCs w:val="20"/>
          <w:lang w:eastAsia="en-US"/>
        </w:rPr>
        <w:t>là</w:t>
      </w:r>
      <w:r w:rsidRPr="00AB3B09">
        <w:rPr>
          <w:rFonts w:eastAsia="Arial"/>
          <w:sz w:val="20"/>
          <w:szCs w:val="20"/>
          <w:lang w:eastAsia="en-US"/>
        </w:rPr>
        <w:t xml:space="preserve"> concernant conformément à l’</w:t>
      </w:r>
      <w:r w:rsidR="00AB3B09" w:rsidRPr="00AB3B09">
        <w:rPr>
          <w:rFonts w:eastAsia="Arial"/>
          <w:sz w:val="20"/>
          <w:szCs w:val="20"/>
          <w:lang w:eastAsia="en-US"/>
        </w:rPr>
        <w:t>article 18</w:t>
      </w:r>
      <w:r w:rsidRPr="00AB3B09">
        <w:rPr>
          <w:rFonts w:eastAsia="Arial"/>
          <w:sz w:val="20"/>
          <w:szCs w:val="20"/>
          <w:lang w:eastAsia="en-US"/>
        </w:rPr>
        <w:t>.1.1 du CCAG</w:t>
      </w:r>
      <w:r w:rsidR="641469A4" w:rsidRPr="00AB3B09">
        <w:rPr>
          <w:rFonts w:eastAsia="Arial"/>
          <w:sz w:val="20"/>
          <w:szCs w:val="20"/>
          <w:lang w:eastAsia="en-US"/>
        </w:rPr>
        <w:t>-</w:t>
      </w:r>
      <w:r w:rsidRPr="00AB3B09">
        <w:rPr>
          <w:rFonts w:eastAsia="Arial"/>
          <w:sz w:val="20"/>
          <w:szCs w:val="20"/>
          <w:lang w:eastAsia="en-US"/>
        </w:rPr>
        <w:t>Travaux.</w:t>
      </w:r>
    </w:p>
    <w:p w14:paraId="63B6CAF2" w14:textId="77777777" w:rsidR="00493BFB" w:rsidRPr="00AB3B09" w:rsidRDefault="00493BFB" w:rsidP="00493BFB">
      <w:pPr>
        <w:pStyle w:val="RedTxt"/>
        <w:rPr>
          <w:rFonts w:eastAsia="Arial"/>
          <w:sz w:val="20"/>
          <w:lang w:eastAsia="en-US"/>
        </w:rPr>
      </w:pPr>
    </w:p>
    <w:p w14:paraId="07F4B7F2" w14:textId="0FCD5140" w:rsidR="00FD7F2D" w:rsidRPr="00EA2F4B" w:rsidRDefault="00B720CF" w:rsidP="00EA2F4B">
      <w:pPr>
        <w:pStyle w:val="RedTxt"/>
        <w:rPr>
          <w:rFonts w:eastAsia="Arial"/>
          <w:sz w:val="20"/>
          <w:szCs w:val="20"/>
          <w:lang w:eastAsia="en-US"/>
        </w:rPr>
      </w:pPr>
      <w:r w:rsidRPr="00AB3B09">
        <w:rPr>
          <w:rFonts w:eastAsia="Arial"/>
          <w:sz w:val="20"/>
          <w:szCs w:val="20"/>
          <w:lang w:eastAsia="en-US"/>
        </w:rPr>
        <w:t>Le calendrier prévisionnel d’exécution fixe de manière prévisionnelle le délai global d’exécution des travaux. Il s’applique jusqu’à l’accord du titulaire et du maître d’œuvre sur un calendrier détaillé d’exécution établi pendant la période de préparation</w:t>
      </w:r>
      <w:r w:rsidR="56B77FEB" w:rsidRPr="00AB3B09">
        <w:rPr>
          <w:rFonts w:eastAsia="Arial"/>
          <w:sz w:val="20"/>
          <w:szCs w:val="20"/>
          <w:lang w:eastAsia="en-US"/>
        </w:rPr>
        <w:t xml:space="preserve">. Par la suite, le calendrier détaillé sera </w:t>
      </w:r>
      <w:r w:rsidR="68741629" w:rsidRPr="00AB3B09">
        <w:rPr>
          <w:rFonts w:eastAsia="Arial"/>
          <w:sz w:val="20"/>
          <w:szCs w:val="20"/>
          <w:lang w:eastAsia="en-US"/>
        </w:rPr>
        <w:t>notifié au titulaire par ordre de</w:t>
      </w:r>
      <w:r w:rsidR="05E73BD2" w:rsidRPr="00AB3B09">
        <w:rPr>
          <w:rFonts w:eastAsia="Arial"/>
          <w:sz w:val="20"/>
          <w:szCs w:val="20"/>
          <w:lang w:eastAsia="en-US"/>
        </w:rPr>
        <w:t xml:space="preserve"> service.</w:t>
      </w:r>
    </w:p>
    <w:p w14:paraId="71471174" w14:textId="19C633CC" w:rsidR="0076684F" w:rsidRPr="00AB3B09" w:rsidRDefault="0076684F" w:rsidP="00C75F24">
      <w:pPr>
        <w:pStyle w:val="Titre2"/>
      </w:pPr>
      <w:bookmarkStart w:id="86" w:name="_Toc62633088"/>
      <w:bookmarkStart w:id="87" w:name="_Toc206768626"/>
      <w:r w:rsidRPr="00AB3B09">
        <w:t>Prolongation des délais</w:t>
      </w:r>
      <w:bookmarkEnd w:id="86"/>
      <w:bookmarkEnd w:id="87"/>
    </w:p>
    <w:p w14:paraId="4E7595C9" w14:textId="2E2069A8" w:rsidR="0076684F" w:rsidRPr="00AB3B09" w:rsidRDefault="0076684F" w:rsidP="0076684F">
      <w:pPr>
        <w:rPr>
          <w:rFonts w:eastAsia="Arial" w:cs="Arial"/>
        </w:rPr>
      </w:pPr>
      <w:r w:rsidRPr="00AB3B09">
        <w:rPr>
          <w:rFonts w:eastAsia="Arial" w:cs="Arial"/>
        </w:rPr>
        <w:t xml:space="preserve">Une prolongation du délai de réalisation des travaux ou le report du début des travaux peut être justifiée dans les cas mentionnés </w:t>
      </w:r>
      <w:r w:rsidRPr="00AB3B09">
        <w:t>à l’</w:t>
      </w:r>
      <w:r w:rsidR="00A270D4" w:rsidRPr="00AB3B09">
        <w:t>article 18</w:t>
      </w:r>
      <w:r w:rsidRPr="00AB3B09">
        <w:t>.2 du CCAG-Travaux.</w:t>
      </w:r>
    </w:p>
    <w:p w14:paraId="308F2DBC" w14:textId="62094406" w:rsidR="00C457BD" w:rsidRPr="00AB3B09" w:rsidRDefault="0076684F" w:rsidP="0076684F">
      <w:r w:rsidRPr="00AB3B09">
        <w:t>Toutefois, en dérogation à l’</w:t>
      </w:r>
      <w:r w:rsidR="00A270D4" w:rsidRPr="00AB3B09">
        <w:t>article 18.2</w:t>
      </w:r>
      <w:r w:rsidRPr="00AB3B09">
        <w:t xml:space="preserve"> du CCAG-Travaux, il n’est pas prévu de prolongation en cas d’intempéries.</w:t>
      </w:r>
    </w:p>
    <w:p w14:paraId="1A1B7740" w14:textId="372B45A4" w:rsidR="00E91AC0" w:rsidRPr="00C82D1E" w:rsidRDefault="00E91AC0" w:rsidP="6CCACB18">
      <w:pPr>
        <w:spacing w:after="0" w:line="240" w:lineRule="auto"/>
      </w:pPr>
    </w:p>
    <w:p w14:paraId="2ABA9610" w14:textId="2514D323" w:rsidR="00E91AC0" w:rsidRPr="00C82D1E" w:rsidRDefault="00E91AC0" w:rsidP="00C75F24">
      <w:pPr>
        <w:pStyle w:val="Titre2"/>
      </w:pPr>
      <w:bookmarkStart w:id="88" w:name="_Toc206768627"/>
      <w:r>
        <w:t>Autres délais contractuels</w:t>
      </w:r>
      <w:bookmarkEnd w:id="88"/>
    </w:p>
    <w:p w14:paraId="4337C918" w14:textId="74A43B36" w:rsidR="00E91AC0" w:rsidRPr="00560731" w:rsidRDefault="00E91AC0" w:rsidP="34DD3CF9">
      <w:r>
        <w:t xml:space="preserve">Les délais ci-dessous devront être respectés sous peine d’application des </w:t>
      </w:r>
      <w:r w:rsidR="007628DA">
        <w:t>pénalités définies à l’article 8</w:t>
      </w:r>
      <w:r>
        <w:t>.1 du présent CCAP.</w:t>
      </w:r>
    </w:p>
    <w:p w14:paraId="10628CB4" w14:textId="01AFB4A5" w:rsidR="00E91AC0" w:rsidRPr="00560731" w:rsidRDefault="00E91AC0" w:rsidP="34DD3CF9">
      <w:r>
        <w:t>Tableau récapitulatif des autres délais contractuels</w:t>
      </w:r>
    </w:p>
    <w:tbl>
      <w:tblPr>
        <w:tblpPr w:leftFromText="141" w:rightFromText="141" w:vertAnchor="text" w:horzAnchor="margin" w:tblpY="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976"/>
        <w:gridCol w:w="2835"/>
      </w:tblGrid>
      <w:tr w:rsidR="00A814FC" w:rsidRPr="00560731" w14:paraId="5D0C3F0E" w14:textId="77777777" w:rsidTr="34DD3CF9">
        <w:trPr>
          <w:cantSplit/>
          <w:trHeight w:val="570"/>
          <w:tblHeader/>
        </w:trPr>
        <w:tc>
          <w:tcPr>
            <w:tcW w:w="3256" w:type="dxa"/>
            <w:shd w:val="clear" w:color="auto" w:fill="D9E2F3" w:themeFill="accent5" w:themeFillTint="33"/>
            <w:vAlign w:val="center"/>
          </w:tcPr>
          <w:p w14:paraId="03AE1A96" w14:textId="3CD30EAA" w:rsidR="00A814FC" w:rsidRPr="00560731" w:rsidRDefault="01F1B250" w:rsidP="34DD3CF9">
            <w:pPr>
              <w:keepNext/>
              <w:spacing w:after="0"/>
              <w:jc w:val="center"/>
              <w:rPr>
                <w:rFonts w:cs="Arial"/>
              </w:rPr>
            </w:pPr>
            <w:r w:rsidRPr="34DD3CF9">
              <w:rPr>
                <w:rFonts w:cs="Arial"/>
                <w:b/>
                <w:bCs/>
              </w:rPr>
              <w:t>Intitulé du délai contractuel</w:t>
            </w:r>
          </w:p>
        </w:tc>
        <w:tc>
          <w:tcPr>
            <w:tcW w:w="2976" w:type="dxa"/>
            <w:shd w:val="clear" w:color="auto" w:fill="D9E2F3" w:themeFill="accent5" w:themeFillTint="33"/>
            <w:vAlign w:val="center"/>
          </w:tcPr>
          <w:p w14:paraId="493E957A" w14:textId="31F9BCF9" w:rsidR="00A814FC" w:rsidRPr="00560731" w:rsidRDefault="01F1B250" w:rsidP="34DD3CF9">
            <w:pPr>
              <w:keepNext/>
              <w:spacing w:after="0"/>
              <w:jc w:val="center"/>
              <w:rPr>
                <w:rFonts w:cs="Arial"/>
                <w:b/>
                <w:bCs/>
              </w:rPr>
            </w:pPr>
            <w:r w:rsidRPr="34DD3CF9">
              <w:rPr>
                <w:rFonts w:cs="Arial"/>
                <w:b/>
                <w:bCs/>
              </w:rPr>
              <w:t>Point de départ du délai</w:t>
            </w:r>
          </w:p>
        </w:tc>
        <w:tc>
          <w:tcPr>
            <w:tcW w:w="2835" w:type="dxa"/>
            <w:shd w:val="clear" w:color="auto" w:fill="D9E2F3" w:themeFill="accent5" w:themeFillTint="33"/>
            <w:vAlign w:val="center"/>
          </w:tcPr>
          <w:p w14:paraId="58835EE6" w14:textId="77777777" w:rsidR="00A814FC" w:rsidRPr="00560731" w:rsidRDefault="01F1B250" w:rsidP="34DD3CF9">
            <w:pPr>
              <w:keepNext/>
              <w:spacing w:after="0"/>
              <w:jc w:val="center"/>
              <w:rPr>
                <w:rFonts w:cs="Arial"/>
                <w:b/>
                <w:bCs/>
              </w:rPr>
            </w:pPr>
            <w:r w:rsidRPr="34DD3CF9">
              <w:rPr>
                <w:rFonts w:cs="Arial"/>
                <w:b/>
                <w:bCs/>
              </w:rPr>
              <w:t xml:space="preserve">Délai contractuel </w:t>
            </w:r>
          </w:p>
          <w:p w14:paraId="77A055E6" w14:textId="42DC778B" w:rsidR="00A814FC" w:rsidRPr="00560731" w:rsidRDefault="01F1B250" w:rsidP="34DD3CF9">
            <w:pPr>
              <w:keepNext/>
              <w:spacing w:after="0"/>
              <w:jc w:val="center"/>
              <w:rPr>
                <w:rFonts w:eastAsia="Calibri" w:cs="Arial"/>
              </w:rPr>
            </w:pPr>
            <w:r w:rsidRPr="34DD3CF9">
              <w:rPr>
                <w:rFonts w:cs="Arial"/>
              </w:rPr>
              <w:t>(</w:t>
            </w:r>
            <w:proofErr w:type="gramStart"/>
            <w:r w:rsidRPr="34DD3CF9">
              <w:rPr>
                <w:rFonts w:cs="Arial"/>
              </w:rPr>
              <w:t>en</w:t>
            </w:r>
            <w:proofErr w:type="gramEnd"/>
            <w:r w:rsidRPr="34DD3CF9">
              <w:rPr>
                <w:rFonts w:cs="Arial"/>
              </w:rPr>
              <w:t xml:space="preserve"> jours calendaires)</w:t>
            </w:r>
          </w:p>
        </w:tc>
      </w:tr>
      <w:tr w:rsidR="00A814FC" w:rsidRPr="00560731" w14:paraId="52C682BE" w14:textId="77777777" w:rsidTr="00A270D4">
        <w:trPr>
          <w:cantSplit/>
          <w:trHeight w:val="567"/>
        </w:trPr>
        <w:tc>
          <w:tcPr>
            <w:tcW w:w="3256" w:type="dxa"/>
            <w:vAlign w:val="center"/>
          </w:tcPr>
          <w:p w14:paraId="39DBF40C" w14:textId="6793FF6E" w:rsidR="00A814FC" w:rsidRPr="00560731" w:rsidRDefault="01F1B250" w:rsidP="34DD3CF9">
            <w:pPr>
              <w:spacing w:after="0"/>
              <w:jc w:val="left"/>
              <w:rPr>
                <w:rFonts w:cs="Arial"/>
              </w:rPr>
            </w:pPr>
            <w:r>
              <w:t>Remise en état des lieux</w:t>
            </w:r>
          </w:p>
        </w:tc>
        <w:tc>
          <w:tcPr>
            <w:tcW w:w="2976" w:type="dxa"/>
            <w:vAlign w:val="center"/>
          </w:tcPr>
          <w:p w14:paraId="462E42C8" w14:textId="258E5418" w:rsidR="00A814FC" w:rsidRPr="00A270D4" w:rsidRDefault="00A270D4" w:rsidP="34DD3CF9">
            <w:pPr>
              <w:keepNext/>
              <w:spacing w:after="0"/>
              <w:jc w:val="center"/>
              <w:rPr>
                <w:rFonts w:eastAsia="Arial" w:cs="Arial"/>
              </w:rPr>
            </w:pPr>
            <w:r w:rsidRPr="00A270D4">
              <w:rPr>
                <w:rFonts w:eastAsia="Arial" w:cs="Arial"/>
              </w:rPr>
              <w:t>CCAG travaux</w:t>
            </w:r>
          </w:p>
        </w:tc>
        <w:tc>
          <w:tcPr>
            <w:tcW w:w="2835" w:type="dxa"/>
            <w:vAlign w:val="center"/>
          </w:tcPr>
          <w:p w14:paraId="77C4C500" w14:textId="34B55716" w:rsidR="00A814FC" w:rsidRPr="00A270D4" w:rsidRDefault="00A270D4" w:rsidP="34DD3CF9">
            <w:pPr>
              <w:keepNext/>
              <w:spacing w:after="0"/>
              <w:jc w:val="center"/>
              <w:rPr>
                <w:rFonts w:eastAsia="Arial" w:cs="Arial"/>
              </w:rPr>
            </w:pPr>
            <w:r w:rsidRPr="00A270D4">
              <w:rPr>
                <w:rFonts w:eastAsia="Arial" w:cs="Arial"/>
              </w:rPr>
              <w:t>CCAG travaux</w:t>
            </w:r>
          </w:p>
        </w:tc>
      </w:tr>
      <w:tr w:rsidR="00A814FC" w:rsidRPr="00560731" w14:paraId="40B30857" w14:textId="77777777" w:rsidTr="34DD3CF9">
        <w:trPr>
          <w:cantSplit/>
          <w:trHeight w:val="567"/>
        </w:trPr>
        <w:tc>
          <w:tcPr>
            <w:tcW w:w="3256" w:type="dxa"/>
            <w:vAlign w:val="center"/>
          </w:tcPr>
          <w:p w14:paraId="249282AD" w14:textId="50906474" w:rsidR="00A814FC" w:rsidRPr="00560731" w:rsidRDefault="01F1B250" w:rsidP="34DD3CF9">
            <w:pPr>
              <w:spacing w:after="0"/>
              <w:jc w:val="left"/>
              <w:rPr>
                <w:rFonts w:cs="Arial"/>
                <w:strike/>
                <w:color w:val="FF0000"/>
              </w:rPr>
            </w:pPr>
            <w:r>
              <w:t xml:space="preserve">Remise </w:t>
            </w:r>
            <w:r w:rsidR="007628DA">
              <w:t>du DOE</w:t>
            </w:r>
          </w:p>
        </w:tc>
        <w:tc>
          <w:tcPr>
            <w:tcW w:w="2976" w:type="dxa"/>
            <w:vAlign w:val="center"/>
          </w:tcPr>
          <w:p w14:paraId="23ABDD8C" w14:textId="2F6231E9" w:rsidR="00A814FC" w:rsidRPr="00560731" w:rsidRDefault="01F1B250" w:rsidP="34DD3CF9">
            <w:pPr>
              <w:keepNext/>
              <w:spacing w:after="0"/>
              <w:jc w:val="center"/>
              <w:rPr>
                <w:rFonts w:cs="Arial"/>
                <w:strike/>
                <w:color w:val="FF0000"/>
              </w:rPr>
            </w:pPr>
            <w:r>
              <w:t>Voir article 5.2.2</w:t>
            </w:r>
          </w:p>
        </w:tc>
        <w:tc>
          <w:tcPr>
            <w:tcW w:w="2835" w:type="dxa"/>
            <w:vAlign w:val="center"/>
          </w:tcPr>
          <w:p w14:paraId="135F0E44" w14:textId="76B8586F" w:rsidR="00A814FC" w:rsidRPr="00560731" w:rsidRDefault="007628DA" w:rsidP="34DD3CF9">
            <w:pPr>
              <w:keepNext/>
              <w:spacing w:after="0"/>
              <w:jc w:val="center"/>
              <w:rPr>
                <w:rFonts w:eastAsia="Arial" w:cs="Arial"/>
                <w:color w:val="FF0000"/>
              </w:rPr>
            </w:pPr>
            <w:r w:rsidRPr="34DD3CF9">
              <w:rPr>
                <w:rFonts w:eastAsia="Arial" w:cs="Arial"/>
              </w:rPr>
              <w:t>1 mois</w:t>
            </w:r>
          </w:p>
        </w:tc>
      </w:tr>
    </w:tbl>
    <w:p w14:paraId="40A5F783" w14:textId="77777777" w:rsidR="00A814FC" w:rsidRPr="00102926" w:rsidRDefault="00A814FC" w:rsidP="0076684F"/>
    <w:p w14:paraId="7148836F" w14:textId="0EB25FFC" w:rsidR="0076684F" w:rsidRPr="007B62F5" w:rsidRDefault="0076684F" w:rsidP="0076684F">
      <w:pPr>
        <w:pStyle w:val="Titre1"/>
      </w:pPr>
      <w:bookmarkStart w:id="89" w:name="_Toc62633089"/>
      <w:bookmarkStart w:id="90" w:name="_Toc206768628"/>
      <w:r>
        <w:t>Pénalités</w:t>
      </w:r>
      <w:bookmarkEnd w:id="89"/>
      <w:bookmarkEnd w:id="90"/>
    </w:p>
    <w:p w14:paraId="05E723A7" w14:textId="1929C768" w:rsidR="0076684F" w:rsidRPr="00AB3B09" w:rsidRDefault="0076684F" w:rsidP="0076684F">
      <w:r>
        <w:t xml:space="preserve">Les pénalités prévues </w:t>
      </w:r>
      <w:r w:rsidRPr="00AB3B09">
        <w:t xml:space="preserve">aux articles </w:t>
      </w:r>
      <w:r w:rsidR="00294CBA" w:rsidRPr="00AB3B09">
        <w:t>8</w:t>
      </w:r>
      <w:r w:rsidRPr="00AB3B09">
        <w:t xml:space="preserve">.1 et </w:t>
      </w:r>
      <w:r w:rsidR="00294CBA" w:rsidRPr="00AB3B09">
        <w:t>8</w:t>
      </w:r>
      <w:r w:rsidRPr="00AB3B09">
        <w:t xml:space="preserve">.2 du présent CCAP dérogent à </w:t>
      </w:r>
      <w:r w:rsidR="00AB3B09" w:rsidRPr="00AB3B09">
        <w:t>l’article 19</w:t>
      </w:r>
      <w:r w:rsidRPr="00AB3B09">
        <w:t xml:space="preserve"> du CCAG-Travaux.</w:t>
      </w:r>
    </w:p>
    <w:p w14:paraId="4D40B85C" w14:textId="3810CF3B" w:rsidR="00924D6F" w:rsidRPr="00AB3B09" w:rsidRDefault="00924D6F" w:rsidP="00924D6F">
      <w:r w:rsidRPr="00AB3B09">
        <w:t>Elles sont immédiatement déductibles, du simple fait de leur constatation par le maître d’œuvre et/ou le maître d’ouvrage et/ou le CSPS et/ou l’OPC, des situations mensuelles du titulaire et sont sans préjudice de l’exercice par le maître d’ouvrage de tout autre droit et action en responsabilité y compris son droit de résiliation ou d’imputation au titulaire des coûts induits par sa négligence.</w:t>
      </w:r>
    </w:p>
    <w:p w14:paraId="46ED8C92" w14:textId="77777777" w:rsidR="00924D6F" w:rsidRPr="00AB3B09" w:rsidRDefault="00924D6F" w:rsidP="00924D6F">
      <w:r w:rsidRPr="00AB3B09">
        <w:t>Dans le cas de cotraitants payés séparément, les pénalités sont réparties entre ceux-ci conformément aux indications données par le mandataire.</w:t>
      </w:r>
    </w:p>
    <w:p w14:paraId="22368D24" w14:textId="77777777" w:rsidR="00924D6F" w:rsidRPr="00AB3B09" w:rsidRDefault="00924D6F" w:rsidP="00924D6F">
      <w:r w:rsidRPr="00AB3B09">
        <w:t>Dans l'attente de ces indications, les pénalités sont appliquées en totalité au mandataire, sans que cette opération engage la responsabilité de la maîtrise d’ouvrage à l'égard des autres cotraitants.</w:t>
      </w:r>
    </w:p>
    <w:p w14:paraId="547ECBB2" w14:textId="21D1583A" w:rsidR="00924D6F" w:rsidRPr="00AB3B09" w:rsidRDefault="00924D6F" w:rsidP="00924D6F">
      <w:r w:rsidRPr="00AB3B09">
        <w:t>L’ensemble des pénalités sont cumulables, leur montant cumulé est toutefois limité à 20% du montant du marché.</w:t>
      </w:r>
    </w:p>
    <w:p w14:paraId="0F4F678E" w14:textId="05AAB301" w:rsidR="0076684F" w:rsidRDefault="0076684F" w:rsidP="0076684F">
      <w:r w:rsidRPr="00AB3B09">
        <w:t xml:space="preserve">Par dérogation à </w:t>
      </w:r>
      <w:r w:rsidR="00AB3B09" w:rsidRPr="00AB3B09">
        <w:t>l’article 19</w:t>
      </w:r>
      <w:r w:rsidRPr="00AB3B09">
        <w:t xml:space="preserve"> du CCAG-Travaux</w:t>
      </w:r>
      <w:r>
        <w:t>, le titulaire ne sera pas exonéré des pénalités dont le montant total est inférieur à 1 000 € HT pour l’ensemble du marché. Les pénalités sont cumulables entre elles.</w:t>
      </w:r>
    </w:p>
    <w:p w14:paraId="0F9EE44A" w14:textId="54821B0F" w:rsidR="00F80735" w:rsidRDefault="00924D6F" w:rsidP="6CCACB18">
      <w:pPr>
        <w:rPr>
          <w:b/>
          <w:bCs/>
          <w:highlight w:val="yellow"/>
        </w:rPr>
      </w:pPr>
      <w:r>
        <w:t>L'application</w:t>
      </w:r>
      <w:r w:rsidRPr="3C698118">
        <w:rPr>
          <w:rFonts w:eastAsia="Arial" w:cs="Arial"/>
        </w:rPr>
        <w:t xml:space="preserve"> de ces pénalités se fait par retenue sur la situation de travaux en cours de règlement, sur décision du maître d’</w:t>
      </w:r>
      <w:r w:rsidR="00F80735" w:rsidRPr="3C698118">
        <w:rPr>
          <w:rFonts w:eastAsia="Arial" w:cs="Arial"/>
        </w:rPr>
        <w:t>œuvre</w:t>
      </w:r>
      <w:r w:rsidRPr="3C698118">
        <w:rPr>
          <w:rFonts w:eastAsia="Arial" w:cs="Arial"/>
        </w:rPr>
        <w:t xml:space="preserve"> et/ou du maître d’ouvrage consignée dans le comp</w:t>
      </w:r>
      <w:r w:rsidR="00F80735" w:rsidRPr="3C698118">
        <w:rPr>
          <w:rFonts w:eastAsia="Arial" w:cs="Arial"/>
        </w:rPr>
        <w:t>te rendu de réunion de chantier.</w:t>
      </w:r>
    </w:p>
    <w:p w14:paraId="06C5361C" w14:textId="14CEF974" w:rsidR="3C698118" w:rsidRDefault="3C698118" w:rsidP="3C698118">
      <w:pPr>
        <w:rPr>
          <w:rFonts w:eastAsia="Calibri" w:cs="Arial"/>
          <w:szCs w:val="20"/>
        </w:rPr>
      </w:pPr>
    </w:p>
    <w:p w14:paraId="0222C1ED" w14:textId="5A9FD421" w:rsidR="0076684F" w:rsidRPr="00AE78F3" w:rsidRDefault="0076684F" w:rsidP="00C75F24">
      <w:pPr>
        <w:pStyle w:val="Titre2"/>
      </w:pPr>
      <w:bookmarkStart w:id="91" w:name="_Toc62633090"/>
      <w:bookmarkStart w:id="92" w:name="_Toc206768629"/>
      <w:r>
        <w:t>Pénalités de retard</w:t>
      </w:r>
      <w:bookmarkEnd w:id="91"/>
      <w:bookmarkEnd w:id="92"/>
    </w:p>
    <w:p w14:paraId="6F57DC90" w14:textId="3B5C5E09" w:rsidR="006545DE" w:rsidRPr="00AB3B09" w:rsidRDefault="006545DE" w:rsidP="00DA2C44">
      <w:pPr>
        <w:spacing w:after="0"/>
      </w:pPr>
      <w:bookmarkStart w:id="93" w:name="_Toc62633091"/>
      <w:r w:rsidRPr="00AB3B09">
        <w:t>Les pénalités de retard sont applicables en cas de non-respect des délais contractuels définis à l’</w:t>
      </w:r>
      <w:r w:rsidR="00294CBA" w:rsidRPr="00AB3B09">
        <w:t>article 7.1 et 7</w:t>
      </w:r>
      <w:r w:rsidR="00B26EE0" w:rsidRPr="00AB3B09">
        <w:t>.3</w:t>
      </w:r>
      <w:r w:rsidRPr="00AB3B09">
        <w:t xml:space="preserve"> du présent CCAP.</w:t>
      </w:r>
    </w:p>
    <w:p w14:paraId="61906026" w14:textId="77777777" w:rsidR="00DA2C44" w:rsidRPr="00AB3B09" w:rsidRDefault="00DA2C44" w:rsidP="00DA2C44">
      <w:pPr>
        <w:spacing w:after="0"/>
      </w:pPr>
    </w:p>
    <w:p w14:paraId="57E75FBD" w14:textId="1DD0D3BE" w:rsidR="00F80735" w:rsidRPr="00AB3B09" w:rsidRDefault="00F80735" w:rsidP="39577C66">
      <w:pPr>
        <w:pStyle w:val="Paragraphedeliste"/>
        <w:numPr>
          <w:ilvl w:val="0"/>
          <w:numId w:val="7"/>
        </w:numPr>
        <w:rPr>
          <w:rFonts w:eastAsia="Arial" w:cs="Arial"/>
          <w:b/>
          <w:bCs/>
          <w:szCs w:val="20"/>
        </w:rPr>
      </w:pPr>
      <w:r w:rsidRPr="00AB3B09">
        <w:rPr>
          <w:rFonts w:eastAsia="Arial" w:cs="Arial"/>
          <w:b/>
          <w:bCs/>
          <w:szCs w:val="20"/>
        </w:rPr>
        <w:t>Retards sur le programme d’exécution des travaux</w:t>
      </w:r>
    </w:p>
    <w:p w14:paraId="3C63983E" w14:textId="65167A34" w:rsidR="0077297D" w:rsidRPr="00AB3B09" w:rsidRDefault="3C317149" w:rsidP="39577C66">
      <w:pPr>
        <w:rPr>
          <w:rFonts w:eastAsia="Arial" w:cs="Arial"/>
          <w:szCs w:val="20"/>
        </w:rPr>
      </w:pPr>
      <w:r w:rsidRPr="00AB3B09">
        <w:rPr>
          <w:rFonts w:eastAsia="Arial" w:cs="Arial"/>
          <w:szCs w:val="20"/>
        </w:rPr>
        <w:t xml:space="preserve">Au cas où les travaux ne seraient pas réalisés dans le délai prévu au calendrier d’exécution, il sera appliqué à l’entreprise une pénalité fixée à </w:t>
      </w:r>
      <w:r w:rsidR="15821561" w:rsidRPr="00AB3B09">
        <w:rPr>
          <w:rFonts w:eastAsia="Arial" w:cs="Arial"/>
          <w:szCs w:val="20"/>
        </w:rPr>
        <w:t>200</w:t>
      </w:r>
      <w:r w:rsidRPr="00AB3B09">
        <w:rPr>
          <w:rFonts w:eastAsia="Arial" w:cs="Arial"/>
          <w:szCs w:val="20"/>
        </w:rPr>
        <w:t>€ H.T par jour calendaire de retard. Les pénalités sont appliquées sur simple confrontation de la date réelle d’avancement de chaque tâche, constatée par le maître d’œuvre ou le pilote et la date contractuelle d’exécution fixée au calendrier d’exécution.</w:t>
      </w:r>
    </w:p>
    <w:p w14:paraId="03A247DF" w14:textId="5B2D2629" w:rsidR="00F80735" w:rsidRPr="00AB3B09" w:rsidRDefault="48CAA510" w:rsidP="39577C66">
      <w:pPr>
        <w:pStyle w:val="Paragraphedeliste"/>
        <w:numPr>
          <w:ilvl w:val="0"/>
          <w:numId w:val="6"/>
        </w:numPr>
        <w:rPr>
          <w:rFonts w:eastAsia="Arial" w:cs="Arial"/>
          <w:b/>
          <w:bCs/>
          <w:szCs w:val="20"/>
        </w:rPr>
      </w:pPr>
      <w:r w:rsidRPr="00AB3B09">
        <w:rPr>
          <w:rFonts w:eastAsia="Arial" w:cs="Arial"/>
          <w:b/>
          <w:bCs/>
          <w:szCs w:val="20"/>
        </w:rPr>
        <w:t>P</w:t>
      </w:r>
      <w:r w:rsidR="00294CBA" w:rsidRPr="00AB3B09">
        <w:rPr>
          <w:rFonts w:eastAsia="Arial" w:cs="Arial"/>
          <w:b/>
          <w:bCs/>
          <w:szCs w:val="20"/>
        </w:rPr>
        <w:t>énalité</w:t>
      </w:r>
      <w:r w:rsidRPr="00AB3B09">
        <w:rPr>
          <w:rFonts w:eastAsia="Arial" w:cs="Arial"/>
          <w:b/>
          <w:bCs/>
          <w:szCs w:val="20"/>
        </w:rPr>
        <w:t xml:space="preserve"> pour retard dans la remise </w:t>
      </w:r>
      <w:r w:rsidR="00294CBA" w:rsidRPr="00AB3B09">
        <w:rPr>
          <w:rFonts w:eastAsia="Arial" w:cs="Arial"/>
          <w:b/>
          <w:bCs/>
          <w:szCs w:val="20"/>
        </w:rPr>
        <w:t>du DOE</w:t>
      </w:r>
    </w:p>
    <w:p w14:paraId="6049B90B" w14:textId="76B586D9" w:rsidR="00294CBA" w:rsidRPr="00AB3B09" w:rsidRDefault="48CAA510" w:rsidP="39577C66">
      <w:pPr>
        <w:rPr>
          <w:rFonts w:eastAsia="Arial" w:cs="Arial"/>
          <w:szCs w:val="20"/>
        </w:rPr>
      </w:pPr>
      <w:r w:rsidRPr="00AB3B09">
        <w:rPr>
          <w:rFonts w:eastAsia="Arial" w:cs="Arial"/>
          <w:szCs w:val="20"/>
        </w:rPr>
        <w:t>En cas de retard dans la remise</w:t>
      </w:r>
      <w:r w:rsidR="00294CBA" w:rsidRPr="00AB3B09">
        <w:rPr>
          <w:rFonts w:eastAsia="Arial" w:cs="Arial"/>
          <w:szCs w:val="20"/>
        </w:rPr>
        <w:t xml:space="preserve"> du DOE tel que défini à l’article 5.2.2 du présent CCAP, </w:t>
      </w:r>
      <w:r w:rsidRPr="00AB3B09">
        <w:rPr>
          <w:rFonts w:eastAsia="Arial" w:cs="Arial"/>
          <w:szCs w:val="20"/>
        </w:rPr>
        <w:t xml:space="preserve">une pénalité égale à </w:t>
      </w:r>
      <w:r w:rsidR="15821561" w:rsidRPr="00AB3B09">
        <w:rPr>
          <w:rFonts w:eastAsia="Arial" w:cs="Arial"/>
          <w:szCs w:val="20"/>
        </w:rPr>
        <w:t>100</w:t>
      </w:r>
      <w:r w:rsidRPr="00AB3B09">
        <w:rPr>
          <w:rFonts w:eastAsia="Arial" w:cs="Arial"/>
          <w:szCs w:val="20"/>
        </w:rPr>
        <w:t xml:space="preserve"> € HT par jour calendaire de retard sera appliquée sur les sommes dues au titulaire.</w:t>
      </w:r>
    </w:p>
    <w:p w14:paraId="074CBD28" w14:textId="43F9425A" w:rsidR="00294CBA" w:rsidRPr="00AB3B09" w:rsidRDefault="00294CBA" w:rsidP="39577C66">
      <w:pPr>
        <w:pStyle w:val="Paragraphedeliste"/>
        <w:numPr>
          <w:ilvl w:val="0"/>
          <w:numId w:val="6"/>
        </w:numPr>
        <w:rPr>
          <w:rFonts w:eastAsia="Arial" w:cs="Arial"/>
          <w:b/>
          <w:bCs/>
          <w:szCs w:val="20"/>
        </w:rPr>
      </w:pPr>
      <w:r w:rsidRPr="00AB3B09">
        <w:rPr>
          <w:rFonts w:eastAsia="Arial" w:cs="Arial"/>
          <w:b/>
          <w:bCs/>
          <w:szCs w:val="20"/>
        </w:rPr>
        <w:t>Pénalité pour retard dans la remise de l’attestation d’assurance</w:t>
      </w:r>
    </w:p>
    <w:p w14:paraId="7CE0C1D4" w14:textId="18225E19" w:rsidR="00294CBA" w:rsidRPr="00AB3B09" w:rsidRDefault="00294CBA" w:rsidP="39577C66">
      <w:pPr>
        <w:rPr>
          <w:rFonts w:eastAsia="Arial" w:cs="Arial"/>
          <w:szCs w:val="20"/>
        </w:rPr>
      </w:pPr>
      <w:r w:rsidRPr="00AB3B09">
        <w:rPr>
          <w:rFonts w:eastAsia="Arial" w:cs="Arial"/>
          <w:szCs w:val="20"/>
        </w:rPr>
        <w:t xml:space="preserve">En cas de retard dans la remise de l’attestation d’assurance telle que définie à l’article 10.1 du présent CCAP, une pénalité égale à 100 € HT par jour calendaire de retard sera appliquée sur les sommes dues au titulaire. Le point de départ du délai pour le calcul de la pénalité correspond à la date du jour où il est découvert </w:t>
      </w:r>
      <w:r w:rsidR="006711B9" w:rsidRPr="00AB3B09">
        <w:rPr>
          <w:rFonts w:eastAsia="Arial" w:cs="Arial"/>
          <w:szCs w:val="20"/>
        </w:rPr>
        <w:t xml:space="preserve">l’absence de l’attestation d’assurance mise à jour. </w:t>
      </w:r>
    </w:p>
    <w:p w14:paraId="5578CE70" w14:textId="433BC82F" w:rsidR="00294CBA" w:rsidRPr="00AB3B09" w:rsidRDefault="00294CBA" w:rsidP="39577C66">
      <w:pPr>
        <w:pStyle w:val="Paragraphedeliste"/>
        <w:numPr>
          <w:ilvl w:val="0"/>
          <w:numId w:val="6"/>
        </w:numPr>
        <w:rPr>
          <w:rFonts w:eastAsia="Arial" w:cs="Arial"/>
          <w:b/>
          <w:bCs/>
          <w:szCs w:val="20"/>
        </w:rPr>
      </w:pPr>
      <w:r w:rsidRPr="00AB3B09">
        <w:rPr>
          <w:rFonts w:eastAsia="Arial" w:cs="Arial"/>
          <w:b/>
          <w:bCs/>
          <w:szCs w:val="20"/>
        </w:rPr>
        <w:t>Pénalité pour retard dans la déclaration d’un sous-traitant</w:t>
      </w:r>
    </w:p>
    <w:p w14:paraId="3A3BB844" w14:textId="721F22E4" w:rsidR="00DA2C44" w:rsidRPr="00AB3B09" w:rsidRDefault="00294CBA" w:rsidP="39577C66">
      <w:pPr>
        <w:rPr>
          <w:rFonts w:eastAsia="Arial" w:cs="Arial"/>
          <w:szCs w:val="20"/>
        </w:rPr>
      </w:pPr>
      <w:r w:rsidRPr="00AB3B09">
        <w:rPr>
          <w:rFonts w:eastAsia="Arial" w:cs="Arial"/>
          <w:szCs w:val="20"/>
        </w:rPr>
        <w:t xml:space="preserve">En cas de retard dans la remise de la déclaration d’un sous-traitant (formulaire DC4) telle que définie à l’article 1.6 du présent CCAP, une pénalité égale à 100 € HT par jour calendaire de retard sera appliquée sur les sommes dues au titulaire. Le point de départ du délai pour le calcul de la pénalité correspond à la date du jour où il est découvert l’existence d’un sous-traitant non déclaré. </w:t>
      </w:r>
    </w:p>
    <w:p w14:paraId="60985CDF" w14:textId="31214123" w:rsidR="00294CBA" w:rsidRPr="00AB3B09" w:rsidRDefault="00294CBA" w:rsidP="39577C66">
      <w:pPr>
        <w:pStyle w:val="Paragraphedeliste"/>
        <w:numPr>
          <w:ilvl w:val="0"/>
          <w:numId w:val="6"/>
        </w:numPr>
        <w:rPr>
          <w:rFonts w:eastAsia="Arial" w:cs="Arial"/>
          <w:b/>
          <w:bCs/>
          <w:szCs w:val="20"/>
        </w:rPr>
      </w:pPr>
      <w:r w:rsidRPr="00AB3B09">
        <w:rPr>
          <w:rFonts w:eastAsia="Arial" w:cs="Arial"/>
          <w:b/>
          <w:bCs/>
          <w:szCs w:val="20"/>
        </w:rPr>
        <w:t>Pénalité pour retard dans la remise des attestations fiscales et sociales</w:t>
      </w:r>
    </w:p>
    <w:p w14:paraId="682FA871" w14:textId="00520359" w:rsidR="006711B9" w:rsidRPr="00AB3B09" w:rsidRDefault="00294CBA" w:rsidP="39577C66">
      <w:pPr>
        <w:rPr>
          <w:rFonts w:eastAsia="Arial" w:cs="Arial"/>
          <w:szCs w:val="20"/>
        </w:rPr>
      </w:pPr>
      <w:r w:rsidRPr="00AB3B09">
        <w:rPr>
          <w:rFonts w:eastAsia="Arial" w:cs="Arial"/>
          <w:szCs w:val="20"/>
        </w:rPr>
        <w:t>En cas de retard dans la remise des attestations fiscales et sociales telles que définies à l’article 13 du présent CCAP, une pénalité égale à 100 € HT par jour calendaire de retard sera appliquée sur les sommes dues au titulaire. Le point de départ du délai pour le calcul de la pénalité correspond à la date du jour où il est découvert l’absence de l’une de ses attestations mise à jour.</w:t>
      </w:r>
    </w:p>
    <w:p w14:paraId="38D7F5A9" w14:textId="69FA24A4" w:rsidR="00294CBA" w:rsidRPr="00AB3B09" w:rsidRDefault="006711B9" w:rsidP="39577C66">
      <w:pPr>
        <w:pStyle w:val="Paragraphedeliste"/>
        <w:numPr>
          <w:ilvl w:val="0"/>
          <w:numId w:val="6"/>
        </w:numPr>
        <w:rPr>
          <w:rFonts w:eastAsia="Arial" w:cs="Arial"/>
          <w:b/>
          <w:bCs/>
          <w:szCs w:val="20"/>
        </w:rPr>
      </w:pPr>
      <w:r w:rsidRPr="00AB3B09">
        <w:rPr>
          <w:rFonts w:eastAsia="Arial" w:cs="Arial"/>
          <w:b/>
          <w:bCs/>
          <w:szCs w:val="20"/>
        </w:rPr>
        <w:t>Pénalité pour retard dans l’exécution des levées de réserves</w:t>
      </w:r>
    </w:p>
    <w:p w14:paraId="1DB3EA17" w14:textId="0A14F6AB" w:rsidR="006711B9" w:rsidRPr="00560731" w:rsidRDefault="006711B9" w:rsidP="34DD3CF9">
      <w:pPr>
        <w:rPr>
          <w:rFonts w:eastAsia="Arial" w:cs="Arial"/>
          <w:szCs w:val="20"/>
        </w:rPr>
      </w:pPr>
      <w:r w:rsidRPr="00AB3B09">
        <w:rPr>
          <w:rFonts w:eastAsia="Arial" w:cs="Arial"/>
          <w:szCs w:val="20"/>
        </w:rPr>
        <w:t xml:space="preserve">En cas de retard dans l’exécution des levées de réserves, qu’il s’agisse de réserve de livraison ou de parfait achèvement, et dès constatation du dit retard, il sera appliqué à l’entreprise une pénalité forfaitaire de 200 € HT par jour calendaire de retard. En cas de préjudice subit </w:t>
      </w:r>
      <w:proofErr w:type="gramStart"/>
      <w:r w:rsidRPr="00AB3B09">
        <w:rPr>
          <w:rFonts w:eastAsia="Arial" w:cs="Arial"/>
          <w:szCs w:val="20"/>
        </w:rPr>
        <w:t>suite à</w:t>
      </w:r>
      <w:proofErr w:type="gramEnd"/>
      <w:r w:rsidRPr="00AB3B09">
        <w:rPr>
          <w:rFonts w:eastAsia="Arial" w:cs="Arial"/>
          <w:szCs w:val="20"/>
        </w:rPr>
        <w:t xml:space="preserve"> cette défaillance, la pénalité appliquée correspondra au montant du préjudice. Le point de départ du délai pour le calcul de la pénalité correspond à la date indiquée dans le formulaire EXE 5 qui</w:t>
      </w:r>
      <w:r w:rsidRPr="34DD3CF9">
        <w:rPr>
          <w:rFonts w:eastAsia="Arial" w:cs="Arial"/>
          <w:szCs w:val="20"/>
        </w:rPr>
        <w:t xml:space="preserve"> précise le délai laissé pour la levée des réserves. </w:t>
      </w:r>
    </w:p>
    <w:p w14:paraId="72FD8E23" w14:textId="77777777" w:rsidR="00294CBA" w:rsidRPr="00560731" w:rsidRDefault="00294CBA" w:rsidP="34DD3CF9">
      <w:pPr>
        <w:rPr>
          <w:rFonts w:eastAsia="Arial" w:cs="Arial"/>
          <w:szCs w:val="20"/>
        </w:rPr>
      </w:pPr>
    </w:p>
    <w:p w14:paraId="50DCB630" w14:textId="224BC698" w:rsidR="00924D6F" w:rsidRPr="00560731" w:rsidRDefault="00924D6F" w:rsidP="34DD3CF9">
      <w:pPr>
        <w:rPr>
          <w:rFonts w:eastAsia="Arial" w:cs="Arial"/>
          <w:szCs w:val="20"/>
        </w:rPr>
      </w:pPr>
      <w:r w:rsidRPr="34DD3CF9">
        <w:rPr>
          <w:rFonts w:eastAsia="Arial" w:cs="Arial"/>
          <w:szCs w:val="20"/>
        </w:rPr>
        <w:t>Tableau récapitulatif des pénalités de retard</w:t>
      </w:r>
    </w:p>
    <w:tbl>
      <w:tblPr>
        <w:tblpPr w:leftFromText="141" w:rightFromText="141" w:vertAnchor="text" w:horzAnchor="margin" w:tblpY="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09"/>
        <w:gridCol w:w="3402"/>
      </w:tblGrid>
      <w:tr w:rsidR="00B26EE0" w:rsidRPr="00560731" w14:paraId="5203C35C" w14:textId="77777777" w:rsidTr="005A161D">
        <w:trPr>
          <w:cantSplit/>
          <w:trHeight w:val="570"/>
          <w:tblHeader/>
        </w:trPr>
        <w:tc>
          <w:tcPr>
            <w:tcW w:w="3256" w:type="dxa"/>
            <w:shd w:val="clear" w:color="auto" w:fill="D9E2F3" w:themeFill="accent5" w:themeFillTint="33"/>
            <w:vAlign w:val="center"/>
          </w:tcPr>
          <w:p w14:paraId="38F7D1AC" w14:textId="77777777" w:rsidR="00B26EE0" w:rsidRPr="00560731" w:rsidRDefault="00B26EE0" w:rsidP="34DD3CF9">
            <w:pPr>
              <w:keepNext/>
              <w:spacing w:after="0"/>
              <w:jc w:val="center"/>
              <w:rPr>
                <w:rFonts w:eastAsia="Arial" w:cs="Arial"/>
                <w:szCs w:val="20"/>
              </w:rPr>
            </w:pPr>
            <w:r w:rsidRPr="34DD3CF9">
              <w:rPr>
                <w:rFonts w:eastAsia="Arial" w:cs="Arial"/>
                <w:b/>
                <w:bCs/>
                <w:szCs w:val="20"/>
              </w:rPr>
              <w:t>Retards dans</w:t>
            </w:r>
          </w:p>
        </w:tc>
        <w:tc>
          <w:tcPr>
            <w:tcW w:w="2409" w:type="dxa"/>
            <w:shd w:val="clear" w:color="auto" w:fill="D9E2F3" w:themeFill="accent5" w:themeFillTint="33"/>
            <w:vAlign w:val="center"/>
          </w:tcPr>
          <w:p w14:paraId="32C0D4BF" w14:textId="49B69FAE" w:rsidR="00B26EE0" w:rsidRPr="00560731" w:rsidRDefault="00B26EE0" w:rsidP="005A161D">
            <w:pPr>
              <w:keepNext/>
              <w:spacing w:after="0"/>
              <w:jc w:val="center"/>
              <w:rPr>
                <w:rFonts w:eastAsia="Arial" w:cs="Arial"/>
                <w:b/>
                <w:bCs/>
                <w:szCs w:val="20"/>
              </w:rPr>
            </w:pPr>
            <w:r w:rsidRPr="34DD3CF9">
              <w:rPr>
                <w:rFonts w:eastAsia="Arial" w:cs="Arial"/>
                <w:b/>
                <w:bCs/>
                <w:szCs w:val="20"/>
              </w:rPr>
              <w:t>Délai fixé à l’article du CCAP n°</w:t>
            </w:r>
          </w:p>
        </w:tc>
        <w:tc>
          <w:tcPr>
            <w:tcW w:w="3402" w:type="dxa"/>
            <w:shd w:val="clear" w:color="auto" w:fill="D9E2F3" w:themeFill="accent5" w:themeFillTint="33"/>
            <w:vAlign w:val="center"/>
          </w:tcPr>
          <w:p w14:paraId="42180E26" w14:textId="34ED49F1" w:rsidR="00B26EE0" w:rsidRPr="00560731" w:rsidRDefault="00B26EE0" w:rsidP="34DD3CF9">
            <w:pPr>
              <w:keepNext/>
              <w:spacing w:after="0"/>
              <w:jc w:val="center"/>
              <w:rPr>
                <w:rFonts w:eastAsia="Arial" w:cs="Arial"/>
                <w:b/>
                <w:bCs/>
                <w:szCs w:val="20"/>
              </w:rPr>
            </w:pPr>
            <w:r w:rsidRPr="34DD3CF9">
              <w:rPr>
                <w:rFonts w:eastAsia="Arial" w:cs="Arial"/>
                <w:b/>
                <w:bCs/>
                <w:szCs w:val="20"/>
              </w:rPr>
              <w:t>Montants pénalités en € HT</w:t>
            </w:r>
            <w:r w:rsidR="6966ED61" w:rsidRPr="34DD3CF9">
              <w:rPr>
                <w:rFonts w:eastAsia="Arial" w:cs="Arial"/>
                <w:b/>
                <w:bCs/>
                <w:szCs w:val="20"/>
              </w:rPr>
              <w:t xml:space="preserve"> </w:t>
            </w:r>
          </w:p>
          <w:p w14:paraId="16338862" w14:textId="2ACE151C" w:rsidR="00B26EE0" w:rsidRPr="00560731" w:rsidRDefault="0E4D3D38" w:rsidP="34DD3CF9">
            <w:pPr>
              <w:keepNext/>
              <w:spacing w:after="0"/>
              <w:jc w:val="center"/>
              <w:rPr>
                <w:rFonts w:eastAsia="Arial" w:cs="Arial"/>
                <w:b/>
                <w:bCs/>
                <w:szCs w:val="20"/>
              </w:rPr>
            </w:pPr>
            <w:r w:rsidRPr="34DD3CF9">
              <w:rPr>
                <w:rFonts w:eastAsia="Arial" w:cs="Arial"/>
                <w:szCs w:val="20"/>
              </w:rPr>
              <w:t>(</w:t>
            </w:r>
            <w:proofErr w:type="gramStart"/>
            <w:r w:rsidRPr="34DD3CF9">
              <w:rPr>
                <w:rFonts w:eastAsia="Arial" w:cs="Arial"/>
                <w:szCs w:val="20"/>
              </w:rPr>
              <w:t>par</w:t>
            </w:r>
            <w:proofErr w:type="gramEnd"/>
            <w:r w:rsidRPr="34DD3CF9">
              <w:rPr>
                <w:rFonts w:eastAsia="Arial" w:cs="Arial"/>
                <w:szCs w:val="20"/>
              </w:rPr>
              <w:t xml:space="preserve"> jour calendaire)</w:t>
            </w:r>
          </w:p>
        </w:tc>
      </w:tr>
      <w:tr w:rsidR="00B26EE0" w:rsidRPr="00560731" w14:paraId="64AF8E41" w14:textId="77777777" w:rsidTr="34DD3CF9">
        <w:trPr>
          <w:cantSplit/>
          <w:trHeight w:val="567"/>
        </w:trPr>
        <w:tc>
          <w:tcPr>
            <w:tcW w:w="3256" w:type="dxa"/>
            <w:vAlign w:val="center"/>
          </w:tcPr>
          <w:p w14:paraId="756A7D41" w14:textId="77777777" w:rsidR="00B26EE0" w:rsidRPr="00560731" w:rsidRDefault="00B26EE0" w:rsidP="34DD3CF9">
            <w:pPr>
              <w:spacing w:after="0"/>
              <w:jc w:val="left"/>
              <w:rPr>
                <w:rFonts w:eastAsia="Arial" w:cs="Arial"/>
                <w:szCs w:val="20"/>
              </w:rPr>
            </w:pPr>
            <w:r w:rsidRPr="34DD3CF9">
              <w:rPr>
                <w:rFonts w:eastAsia="Arial" w:cs="Arial"/>
                <w:szCs w:val="20"/>
              </w:rPr>
              <w:t xml:space="preserve">Programme d’exécution des travaux </w:t>
            </w:r>
          </w:p>
        </w:tc>
        <w:tc>
          <w:tcPr>
            <w:tcW w:w="2409" w:type="dxa"/>
            <w:vAlign w:val="center"/>
          </w:tcPr>
          <w:p w14:paraId="7ED6BBFA" w14:textId="777D5537" w:rsidR="00B26EE0" w:rsidRPr="00560731" w:rsidRDefault="41F2C5F6" w:rsidP="34DD3CF9">
            <w:pPr>
              <w:keepNext/>
              <w:spacing w:after="0"/>
              <w:jc w:val="center"/>
              <w:rPr>
                <w:rFonts w:eastAsia="Arial" w:cs="Arial"/>
                <w:szCs w:val="20"/>
              </w:rPr>
            </w:pPr>
            <w:r w:rsidRPr="34DD3CF9">
              <w:rPr>
                <w:rFonts w:eastAsia="Arial" w:cs="Arial"/>
                <w:szCs w:val="20"/>
              </w:rPr>
              <w:t>7.1</w:t>
            </w:r>
          </w:p>
        </w:tc>
        <w:tc>
          <w:tcPr>
            <w:tcW w:w="3402" w:type="dxa"/>
            <w:vAlign w:val="center"/>
          </w:tcPr>
          <w:p w14:paraId="115428D8" w14:textId="47D7FAC8" w:rsidR="00B26EE0" w:rsidRPr="00266726" w:rsidRDefault="3B0609AA" w:rsidP="34DD3CF9">
            <w:pPr>
              <w:keepNext/>
              <w:spacing w:after="0"/>
              <w:jc w:val="center"/>
              <w:rPr>
                <w:rFonts w:eastAsia="Arial" w:cs="Arial"/>
                <w:szCs w:val="20"/>
              </w:rPr>
            </w:pPr>
            <w:r w:rsidRPr="00266726">
              <w:rPr>
                <w:rFonts w:eastAsia="Arial" w:cs="Arial"/>
                <w:szCs w:val="20"/>
              </w:rPr>
              <w:t xml:space="preserve">200 </w:t>
            </w:r>
            <w:r w:rsidR="00B26EE0" w:rsidRPr="00266726">
              <w:rPr>
                <w:rFonts w:eastAsia="Arial" w:cs="Arial"/>
                <w:szCs w:val="20"/>
              </w:rPr>
              <w:t>€ H.T.</w:t>
            </w:r>
          </w:p>
        </w:tc>
      </w:tr>
      <w:tr w:rsidR="00B26EE0" w:rsidRPr="00560731" w14:paraId="002298CA" w14:textId="77777777" w:rsidTr="34DD3CF9">
        <w:trPr>
          <w:cantSplit/>
          <w:trHeight w:val="567"/>
        </w:trPr>
        <w:tc>
          <w:tcPr>
            <w:tcW w:w="3256" w:type="dxa"/>
            <w:vAlign w:val="center"/>
          </w:tcPr>
          <w:p w14:paraId="57DE1DB4" w14:textId="77777777" w:rsidR="00B26EE0" w:rsidRPr="00560731" w:rsidRDefault="00B26EE0" w:rsidP="34DD3CF9">
            <w:pPr>
              <w:keepNext/>
              <w:spacing w:after="0"/>
              <w:jc w:val="left"/>
              <w:rPr>
                <w:rFonts w:eastAsia="Arial" w:cs="Arial"/>
                <w:szCs w:val="20"/>
              </w:rPr>
            </w:pPr>
            <w:r w:rsidRPr="34DD3CF9">
              <w:rPr>
                <w:rFonts w:eastAsia="Arial" w:cs="Arial"/>
                <w:szCs w:val="20"/>
              </w:rPr>
              <w:t>Remise de l’attestation d’assurance</w:t>
            </w:r>
          </w:p>
        </w:tc>
        <w:tc>
          <w:tcPr>
            <w:tcW w:w="2409" w:type="dxa"/>
            <w:vAlign w:val="center"/>
          </w:tcPr>
          <w:p w14:paraId="5F48FF99" w14:textId="1044B75C" w:rsidR="00B26EE0" w:rsidRPr="00560731" w:rsidRDefault="00294CBA" w:rsidP="34DD3CF9">
            <w:pPr>
              <w:keepNext/>
              <w:spacing w:after="0"/>
              <w:jc w:val="center"/>
              <w:rPr>
                <w:rFonts w:eastAsia="Arial" w:cs="Arial"/>
                <w:szCs w:val="20"/>
              </w:rPr>
            </w:pPr>
            <w:r w:rsidRPr="34DD3CF9">
              <w:rPr>
                <w:rFonts w:eastAsia="Arial" w:cs="Arial"/>
                <w:szCs w:val="20"/>
              </w:rPr>
              <w:t>10.1</w:t>
            </w:r>
          </w:p>
        </w:tc>
        <w:tc>
          <w:tcPr>
            <w:tcW w:w="3402" w:type="dxa"/>
            <w:vAlign w:val="center"/>
          </w:tcPr>
          <w:p w14:paraId="7F266CA3" w14:textId="4C9C4090" w:rsidR="00B26EE0" w:rsidRPr="00266726" w:rsidRDefault="006711B9" w:rsidP="34DD3CF9">
            <w:pPr>
              <w:keepNext/>
              <w:spacing w:after="0"/>
              <w:jc w:val="center"/>
              <w:rPr>
                <w:rFonts w:eastAsia="Arial" w:cs="Arial"/>
                <w:szCs w:val="20"/>
              </w:rPr>
            </w:pPr>
            <w:r w:rsidRPr="00266726">
              <w:rPr>
                <w:rFonts w:eastAsia="Arial" w:cs="Arial"/>
                <w:szCs w:val="20"/>
              </w:rPr>
              <w:t>100 € H.T.</w:t>
            </w:r>
          </w:p>
        </w:tc>
      </w:tr>
      <w:tr w:rsidR="00B26EE0" w:rsidRPr="00560731" w14:paraId="24800DF4" w14:textId="77777777" w:rsidTr="34DD3CF9">
        <w:trPr>
          <w:cantSplit/>
          <w:trHeight w:val="567"/>
        </w:trPr>
        <w:tc>
          <w:tcPr>
            <w:tcW w:w="3256" w:type="dxa"/>
            <w:vAlign w:val="center"/>
          </w:tcPr>
          <w:p w14:paraId="4A4C1C54" w14:textId="1163E487" w:rsidR="00B26EE0" w:rsidRPr="00560731" w:rsidRDefault="00294CBA" w:rsidP="34DD3CF9">
            <w:pPr>
              <w:spacing w:after="0"/>
              <w:jc w:val="left"/>
              <w:rPr>
                <w:rFonts w:eastAsia="Arial" w:cs="Arial"/>
                <w:szCs w:val="20"/>
              </w:rPr>
            </w:pPr>
            <w:r w:rsidRPr="34DD3CF9">
              <w:rPr>
                <w:rFonts w:eastAsia="Arial" w:cs="Arial"/>
                <w:szCs w:val="20"/>
              </w:rPr>
              <w:t>Remise du DOE</w:t>
            </w:r>
            <w:r w:rsidR="00B26EE0" w:rsidRPr="34DD3CF9">
              <w:rPr>
                <w:rFonts w:eastAsia="Arial" w:cs="Arial"/>
                <w:szCs w:val="20"/>
              </w:rPr>
              <w:t xml:space="preserve"> </w:t>
            </w:r>
          </w:p>
        </w:tc>
        <w:tc>
          <w:tcPr>
            <w:tcW w:w="2409" w:type="dxa"/>
            <w:vAlign w:val="center"/>
          </w:tcPr>
          <w:p w14:paraId="3C0E64D9" w14:textId="3075477A" w:rsidR="00B26EE0" w:rsidRPr="00560731" w:rsidRDefault="1231E6CD" w:rsidP="34DD3CF9">
            <w:pPr>
              <w:spacing w:after="0"/>
              <w:jc w:val="center"/>
              <w:rPr>
                <w:rFonts w:eastAsia="Arial" w:cs="Arial"/>
                <w:szCs w:val="20"/>
              </w:rPr>
            </w:pPr>
            <w:r w:rsidRPr="34DD3CF9">
              <w:rPr>
                <w:rFonts w:eastAsia="Arial" w:cs="Arial"/>
                <w:szCs w:val="20"/>
              </w:rPr>
              <w:t>5.2.2</w:t>
            </w:r>
          </w:p>
        </w:tc>
        <w:tc>
          <w:tcPr>
            <w:tcW w:w="3402" w:type="dxa"/>
            <w:vAlign w:val="center"/>
          </w:tcPr>
          <w:p w14:paraId="64E79D07" w14:textId="00C5C697" w:rsidR="00B26EE0" w:rsidRPr="00266726" w:rsidRDefault="3D7F2E96" w:rsidP="34DD3CF9">
            <w:pPr>
              <w:spacing w:after="0"/>
              <w:jc w:val="center"/>
              <w:rPr>
                <w:rFonts w:eastAsia="Arial" w:cs="Arial"/>
                <w:szCs w:val="20"/>
              </w:rPr>
            </w:pPr>
            <w:r w:rsidRPr="00266726">
              <w:rPr>
                <w:rFonts w:eastAsia="Arial" w:cs="Arial"/>
                <w:szCs w:val="20"/>
              </w:rPr>
              <w:t xml:space="preserve">100 </w:t>
            </w:r>
            <w:r w:rsidR="00B26EE0" w:rsidRPr="00266726">
              <w:rPr>
                <w:rFonts w:eastAsia="Arial" w:cs="Arial"/>
                <w:szCs w:val="20"/>
              </w:rPr>
              <w:t>€ H.T.</w:t>
            </w:r>
          </w:p>
        </w:tc>
      </w:tr>
      <w:tr w:rsidR="00B26EE0" w:rsidRPr="00560731" w14:paraId="4DCD47D5" w14:textId="77777777" w:rsidTr="34DD3CF9">
        <w:trPr>
          <w:cantSplit/>
          <w:trHeight w:val="567"/>
        </w:trPr>
        <w:tc>
          <w:tcPr>
            <w:tcW w:w="3256" w:type="dxa"/>
            <w:vAlign w:val="center"/>
          </w:tcPr>
          <w:p w14:paraId="43AE6A42" w14:textId="73E527EA" w:rsidR="00B26EE0" w:rsidRPr="00560731" w:rsidRDefault="00B26EE0" w:rsidP="34DD3CF9">
            <w:pPr>
              <w:spacing w:after="0"/>
              <w:rPr>
                <w:rFonts w:eastAsia="Arial" w:cs="Arial"/>
                <w:szCs w:val="20"/>
              </w:rPr>
            </w:pPr>
            <w:r w:rsidRPr="34DD3CF9">
              <w:rPr>
                <w:rFonts w:eastAsia="Arial" w:cs="Arial"/>
                <w:szCs w:val="20"/>
              </w:rPr>
              <w:t>Déclaration d’un sous-traitant</w:t>
            </w:r>
          </w:p>
        </w:tc>
        <w:tc>
          <w:tcPr>
            <w:tcW w:w="2409" w:type="dxa"/>
            <w:vAlign w:val="center"/>
          </w:tcPr>
          <w:p w14:paraId="15A9DF65" w14:textId="77E6C70A" w:rsidR="00B26EE0" w:rsidRPr="00560731" w:rsidRDefault="6C4E934C" w:rsidP="34DD3CF9">
            <w:pPr>
              <w:spacing w:after="0"/>
              <w:jc w:val="center"/>
              <w:rPr>
                <w:rFonts w:eastAsia="Arial" w:cs="Arial"/>
                <w:szCs w:val="20"/>
              </w:rPr>
            </w:pPr>
            <w:r w:rsidRPr="34DD3CF9">
              <w:rPr>
                <w:rFonts w:eastAsia="Arial" w:cs="Arial"/>
                <w:szCs w:val="20"/>
              </w:rPr>
              <w:t>1.6</w:t>
            </w:r>
          </w:p>
        </w:tc>
        <w:tc>
          <w:tcPr>
            <w:tcW w:w="3402" w:type="dxa"/>
            <w:vAlign w:val="center"/>
          </w:tcPr>
          <w:p w14:paraId="152F2C90" w14:textId="08BE50A3" w:rsidR="00B26EE0" w:rsidRPr="00266726" w:rsidRDefault="006711B9" w:rsidP="34DD3CF9">
            <w:pPr>
              <w:spacing w:after="0"/>
              <w:jc w:val="center"/>
              <w:rPr>
                <w:rFonts w:eastAsia="Arial" w:cs="Arial"/>
                <w:szCs w:val="20"/>
              </w:rPr>
            </w:pPr>
            <w:r w:rsidRPr="00266726">
              <w:rPr>
                <w:rFonts w:eastAsia="Arial" w:cs="Arial"/>
                <w:szCs w:val="20"/>
              </w:rPr>
              <w:t>100 € H.T.</w:t>
            </w:r>
          </w:p>
        </w:tc>
      </w:tr>
      <w:tr w:rsidR="00B26EE0" w:rsidRPr="00560731" w14:paraId="34B71137" w14:textId="77777777" w:rsidTr="34DD3CF9">
        <w:trPr>
          <w:cantSplit/>
          <w:trHeight w:val="567"/>
        </w:trPr>
        <w:tc>
          <w:tcPr>
            <w:tcW w:w="3256" w:type="dxa"/>
            <w:vAlign w:val="center"/>
          </w:tcPr>
          <w:p w14:paraId="3CE6C11F" w14:textId="423C24F1" w:rsidR="00B26EE0" w:rsidRPr="00560731" w:rsidRDefault="00B26EE0" w:rsidP="34DD3CF9">
            <w:pPr>
              <w:spacing w:after="0"/>
              <w:rPr>
                <w:rFonts w:eastAsia="Arial" w:cs="Arial"/>
                <w:szCs w:val="20"/>
              </w:rPr>
            </w:pPr>
            <w:r w:rsidRPr="34DD3CF9">
              <w:rPr>
                <w:rFonts w:eastAsia="Arial" w:cs="Arial"/>
                <w:szCs w:val="20"/>
              </w:rPr>
              <w:t xml:space="preserve">Remise des attestations fiscales et sociales, lutte contre le travail </w:t>
            </w:r>
            <w:r w:rsidR="6E8B1BD4" w:rsidRPr="34DD3CF9">
              <w:rPr>
                <w:rFonts w:eastAsia="Arial" w:cs="Arial"/>
                <w:szCs w:val="20"/>
              </w:rPr>
              <w:t xml:space="preserve">dissimulé, </w:t>
            </w:r>
            <w:r w:rsidR="12EEEB5B" w:rsidRPr="34DD3CF9">
              <w:rPr>
                <w:rFonts w:eastAsia="Arial" w:cs="Arial"/>
                <w:szCs w:val="20"/>
              </w:rPr>
              <w:t>etc.</w:t>
            </w:r>
          </w:p>
        </w:tc>
        <w:tc>
          <w:tcPr>
            <w:tcW w:w="2409" w:type="dxa"/>
            <w:vAlign w:val="center"/>
          </w:tcPr>
          <w:p w14:paraId="658F1A6B" w14:textId="37BD2DCB" w:rsidR="00B26EE0" w:rsidRPr="00560731" w:rsidRDefault="006711B9" w:rsidP="34DD3CF9">
            <w:pPr>
              <w:spacing w:after="0"/>
              <w:jc w:val="center"/>
              <w:rPr>
                <w:rFonts w:eastAsia="Arial" w:cs="Arial"/>
                <w:szCs w:val="20"/>
              </w:rPr>
            </w:pPr>
            <w:r w:rsidRPr="34DD3CF9">
              <w:rPr>
                <w:rFonts w:eastAsia="Arial" w:cs="Arial"/>
                <w:szCs w:val="20"/>
              </w:rPr>
              <w:t>13</w:t>
            </w:r>
          </w:p>
        </w:tc>
        <w:tc>
          <w:tcPr>
            <w:tcW w:w="3402" w:type="dxa"/>
            <w:vAlign w:val="center"/>
          </w:tcPr>
          <w:p w14:paraId="7B8B93EE" w14:textId="58C873B3" w:rsidR="00B26EE0" w:rsidRPr="00266726" w:rsidRDefault="006711B9" w:rsidP="34DD3CF9">
            <w:pPr>
              <w:spacing w:after="0"/>
              <w:jc w:val="center"/>
              <w:rPr>
                <w:rFonts w:eastAsia="Arial" w:cs="Arial"/>
                <w:szCs w:val="20"/>
              </w:rPr>
            </w:pPr>
            <w:r w:rsidRPr="00266726">
              <w:rPr>
                <w:rFonts w:eastAsia="Arial" w:cs="Arial"/>
                <w:szCs w:val="20"/>
              </w:rPr>
              <w:t>100 € H.T.</w:t>
            </w:r>
          </w:p>
        </w:tc>
      </w:tr>
      <w:tr w:rsidR="00B26EE0" w:rsidRPr="00560731" w14:paraId="7B8DD7B5" w14:textId="77777777" w:rsidTr="34DD3CF9">
        <w:trPr>
          <w:cantSplit/>
          <w:trHeight w:val="567"/>
        </w:trPr>
        <w:tc>
          <w:tcPr>
            <w:tcW w:w="3256" w:type="dxa"/>
            <w:vAlign w:val="center"/>
          </w:tcPr>
          <w:p w14:paraId="5B153D40" w14:textId="4A3C441F" w:rsidR="00B26EE0" w:rsidRPr="00560731" w:rsidRDefault="00B26EE0" w:rsidP="34DD3CF9">
            <w:pPr>
              <w:spacing w:after="0"/>
              <w:rPr>
                <w:rFonts w:eastAsia="Arial" w:cs="Arial"/>
                <w:color w:val="000000" w:themeColor="text1"/>
                <w:szCs w:val="20"/>
              </w:rPr>
            </w:pPr>
            <w:r w:rsidRPr="34DD3CF9">
              <w:rPr>
                <w:rFonts w:eastAsia="Arial" w:cs="Arial"/>
                <w:color w:val="000000" w:themeColor="text1"/>
                <w:szCs w:val="20"/>
              </w:rPr>
              <w:t>L’exécution des levées de réserve</w:t>
            </w:r>
          </w:p>
        </w:tc>
        <w:tc>
          <w:tcPr>
            <w:tcW w:w="2409" w:type="dxa"/>
            <w:vAlign w:val="center"/>
          </w:tcPr>
          <w:p w14:paraId="08BF7048" w14:textId="42717C1B" w:rsidR="00B26EE0" w:rsidRPr="00560731" w:rsidRDefault="006711B9" w:rsidP="34DD3CF9">
            <w:pPr>
              <w:spacing w:after="0"/>
              <w:jc w:val="center"/>
              <w:rPr>
                <w:rFonts w:eastAsia="Arial" w:cs="Arial"/>
                <w:color w:val="000000" w:themeColor="text1"/>
                <w:szCs w:val="20"/>
              </w:rPr>
            </w:pPr>
            <w:r w:rsidRPr="34DD3CF9">
              <w:rPr>
                <w:rFonts w:eastAsia="Arial" w:cs="Arial"/>
                <w:color w:val="000000" w:themeColor="text1"/>
                <w:szCs w:val="20"/>
              </w:rPr>
              <w:t>5.2.1</w:t>
            </w:r>
          </w:p>
        </w:tc>
        <w:tc>
          <w:tcPr>
            <w:tcW w:w="3402" w:type="dxa"/>
            <w:vAlign w:val="center"/>
          </w:tcPr>
          <w:p w14:paraId="58DB991D" w14:textId="46F725E0" w:rsidR="00B26EE0" w:rsidRPr="00266726" w:rsidRDefault="2F636238" w:rsidP="34DD3CF9">
            <w:pPr>
              <w:spacing w:after="0"/>
              <w:jc w:val="center"/>
              <w:rPr>
                <w:rFonts w:eastAsia="Arial" w:cs="Arial"/>
                <w:color w:val="FF0000"/>
                <w:szCs w:val="20"/>
              </w:rPr>
            </w:pPr>
            <w:r w:rsidRPr="00266726">
              <w:rPr>
                <w:rFonts w:eastAsia="Arial" w:cs="Arial"/>
                <w:color w:val="000000" w:themeColor="text1"/>
                <w:szCs w:val="20"/>
              </w:rPr>
              <w:t>200 € H.T.</w:t>
            </w:r>
          </w:p>
        </w:tc>
      </w:tr>
    </w:tbl>
    <w:p w14:paraId="547BDE86" w14:textId="75369EB8" w:rsidR="009B249F" w:rsidRPr="00560731" w:rsidRDefault="009B249F" w:rsidP="34DD3CF9">
      <w:pPr>
        <w:rPr>
          <w:rFonts w:eastAsia="Arial" w:cs="Arial"/>
          <w:szCs w:val="20"/>
        </w:rPr>
      </w:pPr>
    </w:p>
    <w:p w14:paraId="6EBED6AD" w14:textId="05F01F40" w:rsidR="0076684F" w:rsidRPr="00B67505" w:rsidRDefault="703C4C6F" w:rsidP="00C75F24">
      <w:pPr>
        <w:pStyle w:val="Titre2"/>
      </w:pPr>
      <w:r w:rsidRPr="34DD3CF9">
        <w:t xml:space="preserve"> </w:t>
      </w:r>
      <w:bookmarkStart w:id="94" w:name="_Toc206768630"/>
      <w:r w:rsidR="0076684F" w:rsidRPr="00B67505">
        <w:t>Autres pénalités</w:t>
      </w:r>
      <w:bookmarkStart w:id="95" w:name="_Toc212282950"/>
      <w:bookmarkEnd w:id="93"/>
      <w:bookmarkEnd w:id="94"/>
    </w:p>
    <w:p w14:paraId="3FC483B5" w14:textId="2C59CACE" w:rsidR="00924D6F" w:rsidRPr="00AB3B09" w:rsidRDefault="00F80735" w:rsidP="34DD3CF9">
      <w:pPr>
        <w:pStyle w:val="Titre"/>
        <w:jc w:val="both"/>
        <w:rPr>
          <w:rFonts w:eastAsia="Arial" w:cs="Arial"/>
          <w:b w:val="0"/>
          <w:bCs w:val="0"/>
          <w:sz w:val="20"/>
          <w:lang w:eastAsia="en-US"/>
        </w:rPr>
      </w:pPr>
      <w:r w:rsidRPr="00B67505">
        <w:rPr>
          <w:rFonts w:eastAsia="Arial" w:cs="Arial"/>
          <w:b w:val="0"/>
          <w:bCs w:val="0"/>
          <w:sz w:val="20"/>
          <w:lang w:eastAsia="en-US"/>
        </w:rPr>
        <w:t>Les pénalités forfaitaires</w:t>
      </w:r>
      <w:r w:rsidRPr="34DD3CF9">
        <w:rPr>
          <w:rFonts w:eastAsia="Arial" w:cs="Arial"/>
          <w:b w:val="0"/>
          <w:bCs w:val="0"/>
          <w:sz w:val="20"/>
          <w:lang w:eastAsia="en-US"/>
        </w:rPr>
        <w:t xml:space="preserve"> suivantes sont également applicables au présent marché, L'application de ces pénalités se fait par retenue su</w:t>
      </w:r>
      <w:r w:rsidRPr="00AB3B09">
        <w:rPr>
          <w:rFonts w:eastAsia="Arial" w:cs="Arial"/>
          <w:b w:val="0"/>
          <w:bCs w:val="0"/>
          <w:sz w:val="20"/>
          <w:lang w:eastAsia="en-US"/>
        </w:rPr>
        <w:t>r la situation de travaux en cours de règlement, sur décision du maître d’œuvre et/ou du maître d’ouvrage consignée dans le compte rendu de réunion de chantier.</w:t>
      </w:r>
    </w:p>
    <w:p w14:paraId="4C1CC21C" w14:textId="6D7DCD5F" w:rsidR="006711B9" w:rsidRPr="00AB3B09" w:rsidRDefault="006711B9" w:rsidP="39577C66">
      <w:pPr>
        <w:rPr>
          <w:rFonts w:eastAsia="Arial" w:cs="Arial"/>
          <w:szCs w:val="20"/>
        </w:rPr>
      </w:pPr>
    </w:p>
    <w:p w14:paraId="064F869D" w14:textId="7CE18D66" w:rsidR="006711B9" w:rsidRPr="00AB3B09" w:rsidRDefault="006711B9" w:rsidP="39577C66">
      <w:pPr>
        <w:pStyle w:val="Paragraphedeliste"/>
        <w:numPr>
          <w:ilvl w:val="0"/>
          <w:numId w:val="6"/>
        </w:numPr>
        <w:rPr>
          <w:rFonts w:eastAsia="Arial" w:cs="Arial"/>
          <w:b/>
          <w:bCs/>
          <w:szCs w:val="20"/>
        </w:rPr>
      </w:pPr>
      <w:r w:rsidRPr="00AB3B09">
        <w:rPr>
          <w:rFonts w:eastAsia="Arial" w:cs="Arial"/>
          <w:b/>
          <w:bCs/>
          <w:szCs w:val="20"/>
        </w:rPr>
        <w:t xml:space="preserve">Pénalité pour absence non excusée </w:t>
      </w:r>
      <w:r w:rsidR="00F95419" w:rsidRPr="00AB3B09">
        <w:rPr>
          <w:rFonts w:eastAsia="Arial" w:cs="Arial"/>
          <w:b/>
          <w:bCs/>
          <w:szCs w:val="20"/>
        </w:rPr>
        <w:t>à la réunion de lancement ou à une réunion périodique</w:t>
      </w:r>
    </w:p>
    <w:p w14:paraId="78D4B790" w14:textId="0585F29C" w:rsidR="00F95419" w:rsidRPr="00AB3B09" w:rsidRDefault="006711B9" w:rsidP="39577C66">
      <w:pPr>
        <w:rPr>
          <w:rFonts w:eastAsia="Arial" w:cs="Arial"/>
          <w:szCs w:val="20"/>
        </w:rPr>
      </w:pPr>
      <w:r w:rsidRPr="00AB3B09">
        <w:rPr>
          <w:rFonts w:eastAsia="Arial" w:cs="Arial"/>
          <w:szCs w:val="20"/>
        </w:rPr>
        <w:t xml:space="preserve">En cas </w:t>
      </w:r>
      <w:r w:rsidR="00F95419" w:rsidRPr="00AB3B09">
        <w:rPr>
          <w:rFonts w:eastAsia="Arial" w:cs="Arial"/>
          <w:szCs w:val="20"/>
        </w:rPr>
        <w:t>d’absence du titulaire ou de son représentant à la réunion de lancement ou à une réunion périodique dans les modalités définies à l’article 4.2.2 du présent CCAP, il sera ap</w:t>
      </w:r>
      <w:r w:rsidR="007435A3" w:rsidRPr="00AB3B09">
        <w:rPr>
          <w:rFonts w:eastAsia="Arial" w:cs="Arial"/>
          <w:szCs w:val="20"/>
        </w:rPr>
        <w:t xml:space="preserve">pliqué au titulaire </w:t>
      </w:r>
      <w:r w:rsidR="00F95419" w:rsidRPr="00AB3B09">
        <w:rPr>
          <w:rFonts w:eastAsia="Arial" w:cs="Arial"/>
          <w:szCs w:val="20"/>
        </w:rPr>
        <w:t xml:space="preserve">une pénalité de 50€ HT par absence et par intervenant dont la présence est obligatoire. </w:t>
      </w:r>
    </w:p>
    <w:p w14:paraId="70E093AB" w14:textId="5D85D7F8" w:rsidR="00F80735" w:rsidRPr="00AB3B09" w:rsidRDefault="00F80735" w:rsidP="34DD3CF9">
      <w:pPr>
        <w:pStyle w:val="Titre"/>
        <w:jc w:val="both"/>
        <w:rPr>
          <w:rFonts w:eastAsia="Arial" w:cs="Arial"/>
          <w:b w:val="0"/>
          <w:bCs w:val="0"/>
          <w:sz w:val="20"/>
          <w:lang w:eastAsia="en-US"/>
        </w:rPr>
      </w:pPr>
    </w:p>
    <w:p w14:paraId="18BB5633" w14:textId="5C96F297" w:rsidR="006711B9" w:rsidRPr="00AB3B09" w:rsidRDefault="006711B9" w:rsidP="39577C66">
      <w:pPr>
        <w:pStyle w:val="Paragraphedeliste"/>
        <w:numPr>
          <w:ilvl w:val="0"/>
          <w:numId w:val="6"/>
        </w:numPr>
        <w:rPr>
          <w:rFonts w:eastAsia="Arial" w:cs="Arial"/>
          <w:b/>
          <w:bCs/>
          <w:szCs w:val="20"/>
        </w:rPr>
      </w:pPr>
      <w:r w:rsidRPr="00AB3B09">
        <w:rPr>
          <w:rFonts w:eastAsia="Arial" w:cs="Arial"/>
          <w:b/>
          <w:bCs/>
          <w:szCs w:val="20"/>
        </w:rPr>
        <w:t xml:space="preserve">Pénalité pour </w:t>
      </w:r>
      <w:r w:rsidR="00F95419" w:rsidRPr="00AB3B09">
        <w:rPr>
          <w:rFonts w:eastAsia="Arial" w:cs="Arial"/>
          <w:b/>
          <w:bCs/>
          <w:szCs w:val="20"/>
        </w:rPr>
        <w:t>défaut de ramassage et d’évacuation de déchets</w:t>
      </w:r>
    </w:p>
    <w:p w14:paraId="43089FB7" w14:textId="4D3DB116" w:rsidR="007435A3" w:rsidRPr="00AB3B09" w:rsidRDefault="00F95419" w:rsidP="34DD3CF9">
      <w:pPr>
        <w:spacing w:after="0"/>
        <w:rPr>
          <w:rFonts w:eastAsia="Arial" w:cs="Arial"/>
          <w:szCs w:val="20"/>
        </w:rPr>
      </w:pPr>
      <w:r w:rsidRPr="00AB3B09">
        <w:rPr>
          <w:rFonts w:eastAsia="Arial" w:cs="Arial"/>
          <w:szCs w:val="20"/>
        </w:rPr>
        <w:t xml:space="preserve">En cas de défaut de ramassage et d’évacuation des déchets tels qu’ils sont décrits à l’article 5.2.3 du présent CCAP, </w:t>
      </w:r>
      <w:r w:rsidR="007435A3" w:rsidRPr="00AB3B09">
        <w:rPr>
          <w:rFonts w:eastAsia="Arial" w:cs="Arial"/>
          <w:szCs w:val="20"/>
        </w:rPr>
        <w:t xml:space="preserve">il sera appliqué au titulaire une pénalité de 50 € HT pour chaque jour où une ou plusieurs infractions sont constatées. </w:t>
      </w:r>
    </w:p>
    <w:p w14:paraId="52BF8603" w14:textId="77777777" w:rsidR="007435A3" w:rsidRPr="00AB3B09" w:rsidRDefault="007435A3" w:rsidP="34DD3CF9">
      <w:pPr>
        <w:spacing w:after="0"/>
        <w:rPr>
          <w:rFonts w:eastAsia="Arial" w:cs="Arial"/>
          <w:szCs w:val="20"/>
        </w:rPr>
      </w:pPr>
    </w:p>
    <w:p w14:paraId="0BA1BC18" w14:textId="77777777" w:rsidR="006711B9" w:rsidRPr="00AB3B09" w:rsidRDefault="006711B9" w:rsidP="39577C66">
      <w:pPr>
        <w:pStyle w:val="Paragraphedeliste"/>
        <w:numPr>
          <w:ilvl w:val="0"/>
          <w:numId w:val="6"/>
        </w:numPr>
        <w:rPr>
          <w:rFonts w:eastAsia="Arial" w:cs="Arial"/>
          <w:b/>
          <w:bCs/>
          <w:szCs w:val="20"/>
        </w:rPr>
      </w:pPr>
      <w:r w:rsidRPr="00AB3B09">
        <w:rPr>
          <w:rFonts w:eastAsia="Arial" w:cs="Arial"/>
          <w:b/>
          <w:bCs/>
          <w:szCs w:val="20"/>
        </w:rPr>
        <w:t>Pénalité pour absence non excusée à une réunion périodique</w:t>
      </w:r>
    </w:p>
    <w:p w14:paraId="2319D4C4" w14:textId="2FD6C1EE" w:rsidR="007435A3" w:rsidRPr="007435A3" w:rsidRDefault="007435A3" w:rsidP="34DD3CF9">
      <w:pPr>
        <w:spacing w:after="0"/>
        <w:rPr>
          <w:rFonts w:eastAsia="Arial" w:cs="Arial"/>
          <w:szCs w:val="20"/>
        </w:rPr>
      </w:pPr>
      <w:r w:rsidRPr="00AB3B09">
        <w:rPr>
          <w:rFonts w:eastAsia="Arial" w:cs="Arial"/>
          <w:szCs w:val="20"/>
        </w:rPr>
        <w:t>En cas de défaut de ramassage et d’évacuation des déchets tels qu’ils sont décrits à l’article 5.2.3 du présent CCAP, il sera appliqué au titulaire une pénalité de 150 € HT pour chaque jour où une ou plusieurs infractions sont constatées.</w:t>
      </w:r>
      <w:r w:rsidRPr="34DD3CF9">
        <w:rPr>
          <w:rFonts w:eastAsia="Arial" w:cs="Arial"/>
          <w:szCs w:val="20"/>
        </w:rPr>
        <w:t xml:space="preserve"> </w:t>
      </w:r>
    </w:p>
    <w:p w14:paraId="72BB3BED" w14:textId="1355F7A7" w:rsidR="006711B9" w:rsidRDefault="006711B9" w:rsidP="34DD3CF9">
      <w:pPr>
        <w:pStyle w:val="Titre"/>
        <w:jc w:val="both"/>
        <w:rPr>
          <w:rFonts w:eastAsia="Arial" w:cs="Arial"/>
          <w:b w:val="0"/>
          <w:bCs w:val="0"/>
          <w:sz w:val="20"/>
          <w:lang w:eastAsia="en-US"/>
        </w:rPr>
      </w:pPr>
    </w:p>
    <w:p w14:paraId="640A8E05" w14:textId="77777777" w:rsidR="006711B9" w:rsidRPr="00560731" w:rsidRDefault="006711B9" w:rsidP="34DD3CF9">
      <w:pPr>
        <w:pStyle w:val="Titre"/>
        <w:jc w:val="both"/>
        <w:rPr>
          <w:rFonts w:eastAsiaTheme="minorEastAsia" w:cstheme="minorBidi"/>
          <w:b w:val="0"/>
          <w:bCs w:val="0"/>
          <w:sz w:val="20"/>
          <w:lang w:eastAsia="en-US"/>
        </w:rPr>
      </w:pPr>
    </w:p>
    <w:p w14:paraId="17236D4A" w14:textId="488ADA99" w:rsidR="00924D6F" w:rsidRPr="00560731" w:rsidRDefault="00924D6F" w:rsidP="34DD3CF9">
      <w:r>
        <w:t>Tableau récapitulatif des autres pénalités</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2175"/>
        <w:gridCol w:w="3165"/>
      </w:tblGrid>
      <w:tr w:rsidR="009B249F" w:rsidRPr="00560731" w14:paraId="1E7C1F0E" w14:textId="77777777" w:rsidTr="34DD3CF9">
        <w:trPr>
          <w:cantSplit/>
          <w:trHeight w:val="567"/>
          <w:tblHeader/>
          <w:jc w:val="center"/>
        </w:trPr>
        <w:tc>
          <w:tcPr>
            <w:tcW w:w="3720" w:type="dxa"/>
            <w:shd w:val="clear" w:color="auto" w:fill="D9E2F3" w:themeFill="accent5" w:themeFillTint="33"/>
            <w:vAlign w:val="center"/>
          </w:tcPr>
          <w:p w14:paraId="0E23A601" w14:textId="77777777" w:rsidR="009B249F" w:rsidRPr="00560731" w:rsidRDefault="614B5546" w:rsidP="34DD3CF9">
            <w:pPr>
              <w:keepNext/>
              <w:spacing w:after="0"/>
              <w:jc w:val="center"/>
              <w:rPr>
                <w:rFonts w:cs="Arial"/>
              </w:rPr>
            </w:pPr>
            <w:r w:rsidRPr="34DD3CF9">
              <w:rPr>
                <w:rFonts w:cs="Arial"/>
                <w:b/>
                <w:bCs/>
              </w:rPr>
              <w:t>Pénalités</w:t>
            </w:r>
          </w:p>
        </w:tc>
        <w:tc>
          <w:tcPr>
            <w:tcW w:w="2175" w:type="dxa"/>
            <w:shd w:val="clear" w:color="auto" w:fill="D9E2F3" w:themeFill="accent5" w:themeFillTint="33"/>
            <w:vAlign w:val="center"/>
          </w:tcPr>
          <w:p w14:paraId="2333E11B" w14:textId="7EEE492A" w:rsidR="6CD39EAF" w:rsidRPr="00560731" w:rsidRDefault="7BFB4D9C" w:rsidP="005A161D">
            <w:pPr>
              <w:spacing w:after="0"/>
              <w:jc w:val="center"/>
              <w:rPr>
                <w:rFonts w:eastAsia="Calibri" w:cs="Arial"/>
                <w:b/>
                <w:bCs/>
              </w:rPr>
            </w:pPr>
            <w:r w:rsidRPr="34DD3CF9">
              <w:rPr>
                <w:rFonts w:eastAsia="Calibri" w:cs="Arial"/>
                <w:b/>
                <w:bCs/>
              </w:rPr>
              <w:t>Obligation fixée à l’article du CCAP n°</w:t>
            </w:r>
          </w:p>
        </w:tc>
        <w:tc>
          <w:tcPr>
            <w:tcW w:w="3165" w:type="dxa"/>
            <w:shd w:val="clear" w:color="auto" w:fill="D9E2F3" w:themeFill="accent5" w:themeFillTint="33"/>
            <w:vAlign w:val="center"/>
          </w:tcPr>
          <w:p w14:paraId="08A4346E" w14:textId="77777777" w:rsidR="009B249F" w:rsidRPr="00560731" w:rsidRDefault="614B5546" w:rsidP="34DD3CF9">
            <w:pPr>
              <w:keepNext/>
              <w:spacing w:after="0"/>
              <w:jc w:val="center"/>
              <w:rPr>
                <w:rFonts w:cs="Arial"/>
                <w:b/>
                <w:bCs/>
              </w:rPr>
            </w:pPr>
            <w:r w:rsidRPr="34DD3CF9">
              <w:rPr>
                <w:rFonts w:cs="Arial"/>
                <w:b/>
                <w:bCs/>
              </w:rPr>
              <w:t>Montants pénalités en € HT</w:t>
            </w:r>
          </w:p>
        </w:tc>
      </w:tr>
      <w:tr w:rsidR="009B249F" w:rsidRPr="00560731" w14:paraId="18D4A355" w14:textId="77777777" w:rsidTr="34DD3CF9">
        <w:trPr>
          <w:cantSplit/>
          <w:trHeight w:val="567"/>
          <w:jc w:val="center"/>
        </w:trPr>
        <w:tc>
          <w:tcPr>
            <w:tcW w:w="3720" w:type="dxa"/>
            <w:vAlign w:val="center"/>
          </w:tcPr>
          <w:p w14:paraId="1AC00D51" w14:textId="3EA6141F" w:rsidR="009B249F" w:rsidRPr="00560731" w:rsidRDefault="3BA2D2B7" w:rsidP="34DD3CF9">
            <w:pPr>
              <w:spacing w:after="0"/>
              <w:jc w:val="left"/>
              <w:rPr>
                <w:rFonts w:eastAsia="Arial" w:cs="Arial"/>
              </w:rPr>
            </w:pPr>
            <w:r w:rsidRPr="34DD3CF9">
              <w:rPr>
                <w:rFonts w:eastAsia="Arial" w:cs="Arial"/>
              </w:rPr>
              <w:t>Absence</w:t>
            </w:r>
            <w:r w:rsidR="7100840B" w:rsidRPr="34DD3CF9">
              <w:rPr>
                <w:rFonts w:eastAsia="Arial" w:cs="Arial"/>
              </w:rPr>
              <w:t xml:space="preserve"> non excusée</w:t>
            </w:r>
            <w:r w:rsidRPr="34DD3CF9">
              <w:rPr>
                <w:rFonts w:eastAsia="Arial" w:cs="Arial"/>
              </w:rPr>
              <w:t xml:space="preserve"> à </w:t>
            </w:r>
            <w:r w:rsidR="00F95419" w:rsidRPr="34DD3CF9">
              <w:rPr>
                <w:rFonts w:eastAsia="Arial" w:cs="Arial"/>
              </w:rPr>
              <w:t xml:space="preserve">la réunion de lancement ou à </w:t>
            </w:r>
            <w:r w:rsidRPr="34DD3CF9">
              <w:rPr>
                <w:rFonts w:eastAsia="Arial" w:cs="Arial"/>
              </w:rPr>
              <w:t>une réunion périodique</w:t>
            </w:r>
          </w:p>
        </w:tc>
        <w:tc>
          <w:tcPr>
            <w:tcW w:w="2175" w:type="dxa"/>
            <w:vAlign w:val="center"/>
          </w:tcPr>
          <w:p w14:paraId="4380756F" w14:textId="61F6C1EC" w:rsidR="0FD5EA59" w:rsidRPr="00560731" w:rsidRDefault="1E37D7CD" w:rsidP="34DD3CF9">
            <w:pPr>
              <w:jc w:val="center"/>
              <w:rPr>
                <w:rFonts w:eastAsia="Arial" w:cs="Arial"/>
              </w:rPr>
            </w:pPr>
            <w:r w:rsidRPr="34DD3CF9">
              <w:rPr>
                <w:rFonts w:eastAsia="Arial" w:cs="Arial"/>
              </w:rPr>
              <w:t>4.2.2</w:t>
            </w:r>
          </w:p>
        </w:tc>
        <w:tc>
          <w:tcPr>
            <w:tcW w:w="3165" w:type="dxa"/>
            <w:vAlign w:val="center"/>
          </w:tcPr>
          <w:p w14:paraId="224DAC38" w14:textId="1BF2D00E" w:rsidR="009B249F" w:rsidRPr="00266726" w:rsidRDefault="43910036" w:rsidP="005A161D">
            <w:pPr>
              <w:keepNext/>
              <w:spacing w:after="0"/>
              <w:jc w:val="center"/>
              <w:rPr>
                <w:rFonts w:eastAsia="Arial" w:cs="Arial"/>
                <w:sz w:val="18"/>
              </w:rPr>
            </w:pPr>
            <w:r w:rsidRPr="00266726">
              <w:rPr>
                <w:rFonts w:eastAsia="Arial" w:cs="Arial"/>
              </w:rPr>
              <w:t>50</w:t>
            </w:r>
            <w:r w:rsidR="29D117B9" w:rsidRPr="00266726">
              <w:rPr>
                <w:rFonts w:eastAsia="Arial" w:cs="Arial"/>
              </w:rPr>
              <w:t xml:space="preserve"> € H.T. </w:t>
            </w:r>
            <w:r w:rsidR="005A161D" w:rsidRPr="00266726">
              <w:rPr>
                <w:rFonts w:eastAsia="Arial" w:cs="Arial"/>
              </w:rPr>
              <w:t xml:space="preserve">(par absence et par </w:t>
            </w:r>
            <w:r w:rsidR="29D117B9" w:rsidRPr="00266726">
              <w:rPr>
                <w:rFonts w:eastAsia="Arial" w:cs="Arial"/>
              </w:rPr>
              <w:t>intervenan</w:t>
            </w:r>
            <w:r w:rsidR="05D401B0" w:rsidRPr="00266726">
              <w:rPr>
                <w:rFonts w:eastAsia="Arial" w:cs="Arial"/>
              </w:rPr>
              <w:t>t</w:t>
            </w:r>
            <w:r w:rsidR="005A161D" w:rsidRPr="00266726">
              <w:rPr>
                <w:rFonts w:eastAsia="Arial" w:cs="Arial"/>
              </w:rPr>
              <w:t xml:space="preserve"> </w:t>
            </w:r>
            <w:r w:rsidR="29D117B9" w:rsidRPr="00266726">
              <w:rPr>
                <w:rFonts w:eastAsia="Arial" w:cs="Arial"/>
              </w:rPr>
              <w:t>dont la présence est obligatoire)</w:t>
            </w:r>
          </w:p>
        </w:tc>
      </w:tr>
      <w:tr w:rsidR="009B249F" w:rsidRPr="00560731" w14:paraId="7A9177B9" w14:textId="77777777" w:rsidTr="34DD3CF9">
        <w:trPr>
          <w:cantSplit/>
          <w:trHeight w:val="567"/>
          <w:jc w:val="center"/>
        </w:trPr>
        <w:tc>
          <w:tcPr>
            <w:tcW w:w="3720" w:type="dxa"/>
            <w:vAlign w:val="center"/>
          </w:tcPr>
          <w:p w14:paraId="5CA8A086" w14:textId="77777777" w:rsidR="009B249F" w:rsidRPr="00560731" w:rsidRDefault="3BA2D2B7" w:rsidP="34DD3CF9">
            <w:pPr>
              <w:spacing w:after="0"/>
              <w:jc w:val="left"/>
              <w:rPr>
                <w:rFonts w:eastAsia="Arial" w:cs="Arial"/>
              </w:rPr>
            </w:pPr>
            <w:r w:rsidRPr="34DD3CF9">
              <w:rPr>
                <w:rFonts w:eastAsia="Arial" w:cs="Arial"/>
              </w:rPr>
              <w:t>Défaut de ramassage et d’évacuation de déchets</w:t>
            </w:r>
          </w:p>
        </w:tc>
        <w:tc>
          <w:tcPr>
            <w:tcW w:w="2175" w:type="dxa"/>
            <w:vAlign w:val="center"/>
          </w:tcPr>
          <w:p w14:paraId="0472047B" w14:textId="09D433D8" w:rsidR="3B6AAEF0" w:rsidRPr="00560731" w:rsidRDefault="19DD80E3" w:rsidP="34DD3CF9">
            <w:pPr>
              <w:jc w:val="center"/>
              <w:rPr>
                <w:rFonts w:eastAsia="Arial" w:cs="Arial"/>
              </w:rPr>
            </w:pPr>
            <w:r w:rsidRPr="34DD3CF9">
              <w:rPr>
                <w:rFonts w:eastAsia="Arial" w:cs="Arial"/>
              </w:rPr>
              <w:t>5.2.3</w:t>
            </w:r>
          </w:p>
        </w:tc>
        <w:tc>
          <w:tcPr>
            <w:tcW w:w="3165" w:type="dxa"/>
            <w:vAlign w:val="center"/>
          </w:tcPr>
          <w:p w14:paraId="4C23200D" w14:textId="3A145232" w:rsidR="009B249F" w:rsidRPr="00266726" w:rsidRDefault="0ABB28A9" w:rsidP="34DD3CF9">
            <w:pPr>
              <w:spacing w:after="0"/>
              <w:jc w:val="center"/>
              <w:rPr>
                <w:rFonts w:eastAsia="Arial" w:cs="Arial"/>
              </w:rPr>
            </w:pPr>
            <w:r w:rsidRPr="00266726">
              <w:rPr>
                <w:rFonts w:eastAsia="Arial" w:cs="Arial"/>
              </w:rPr>
              <w:t>50</w:t>
            </w:r>
            <w:r w:rsidR="6D5329F0" w:rsidRPr="00266726">
              <w:rPr>
                <w:rFonts w:eastAsia="Arial" w:cs="Arial"/>
              </w:rPr>
              <w:t xml:space="preserve"> </w:t>
            </w:r>
            <w:r w:rsidR="512B027A" w:rsidRPr="00266726">
              <w:rPr>
                <w:rFonts w:eastAsia="Arial" w:cs="Arial"/>
              </w:rPr>
              <w:t>€ H.T</w:t>
            </w:r>
            <w:r w:rsidR="278210FB" w:rsidRPr="00266726">
              <w:rPr>
                <w:rFonts w:eastAsia="Arial" w:cs="Arial"/>
              </w:rPr>
              <w:t xml:space="preserve">. pour </w:t>
            </w:r>
            <w:r w:rsidR="1CC3A569" w:rsidRPr="00266726">
              <w:rPr>
                <w:rFonts w:eastAsia="Arial" w:cs="Arial"/>
              </w:rPr>
              <w:t>chaque jour où une ou plusieurs</w:t>
            </w:r>
            <w:r w:rsidR="278210FB" w:rsidRPr="00266726">
              <w:rPr>
                <w:rFonts w:eastAsia="Arial" w:cs="Arial"/>
              </w:rPr>
              <w:t xml:space="preserve"> infraction</w:t>
            </w:r>
            <w:r w:rsidR="3CBEDB53" w:rsidRPr="00266726">
              <w:rPr>
                <w:rFonts w:eastAsia="Arial" w:cs="Arial"/>
              </w:rPr>
              <w:t>s sont</w:t>
            </w:r>
            <w:r w:rsidR="278210FB" w:rsidRPr="00266726">
              <w:rPr>
                <w:rFonts w:eastAsia="Arial" w:cs="Arial"/>
              </w:rPr>
              <w:t xml:space="preserve"> constatée</w:t>
            </w:r>
            <w:r w:rsidR="007435A3" w:rsidRPr="00266726">
              <w:rPr>
                <w:rFonts w:eastAsia="Arial" w:cs="Arial"/>
              </w:rPr>
              <w:t>s</w:t>
            </w:r>
          </w:p>
        </w:tc>
      </w:tr>
      <w:tr w:rsidR="009B249F" w:rsidRPr="00560731" w14:paraId="7DF2687E" w14:textId="77777777" w:rsidTr="34DD3CF9">
        <w:trPr>
          <w:cantSplit/>
          <w:trHeight w:val="567"/>
          <w:jc w:val="center"/>
        </w:trPr>
        <w:tc>
          <w:tcPr>
            <w:tcW w:w="3720" w:type="dxa"/>
            <w:vAlign w:val="center"/>
          </w:tcPr>
          <w:p w14:paraId="39AAEEB7" w14:textId="77777777" w:rsidR="009B249F" w:rsidRPr="00560731" w:rsidRDefault="3BA2D2B7" w:rsidP="34DD3CF9">
            <w:pPr>
              <w:spacing w:after="0"/>
              <w:jc w:val="left"/>
              <w:rPr>
                <w:rFonts w:eastAsia="Arial" w:cs="Arial"/>
              </w:rPr>
            </w:pPr>
            <w:r w:rsidRPr="34DD3CF9">
              <w:rPr>
                <w:rFonts w:eastAsia="Arial" w:cs="Arial"/>
              </w:rPr>
              <w:t>Dépôt de toute nature sur la voie publique</w:t>
            </w:r>
          </w:p>
        </w:tc>
        <w:tc>
          <w:tcPr>
            <w:tcW w:w="2175" w:type="dxa"/>
            <w:vAlign w:val="center"/>
          </w:tcPr>
          <w:p w14:paraId="21348D16" w14:textId="19000564" w:rsidR="7A9E9F13" w:rsidRPr="00560731" w:rsidRDefault="06F64040" w:rsidP="34DD3CF9">
            <w:pPr>
              <w:jc w:val="center"/>
              <w:rPr>
                <w:rFonts w:eastAsia="Arial" w:cs="Arial"/>
              </w:rPr>
            </w:pPr>
            <w:r w:rsidRPr="34DD3CF9">
              <w:rPr>
                <w:rFonts w:eastAsia="Arial" w:cs="Arial"/>
              </w:rPr>
              <w:t>5.2.3</w:t>
            </w:r>
          </w:p>
        </w:tc>
        <w:tc>
          <w:tcPr>
            <w:tcW w:w="3165" w:type="dxa"/>
            <w:vAlign w:val="center"/>
          </w:tcPr>
          <w:p w14:paraId="6D94BBB8" w14:textId="1F846979" w:rsidR="009B249F" w:rsidRPr="00266726" w:rsidRDefault="0ABB28A9" w:rsidP="34DD3CF9">
            <w:pPr>
              <w:spacing w:after="0"/>
              <w:jc w:val="center"/>
              <w:rPr>
                <w:rFonts w:eastAsia="Arial" w:cs="Arial"/>
              </w:rPr>
            </w:pPr>
            <w:r w:rsidRPr="00266726">
              <w:rPr>
                <w:rFonts w:eastAsia="Arial" w:cs="Arial"/>
              </w:rPr>
              <w:t>150</w:t>
            </w:r>
            <w:r w:rsidR="05405FA0" w:rsidRPr="00266726">
              <w:rPr>
                <w:rFonts w:eastAsia="Arial" w:cs="Arial"/>
              </w:rPr>
              <w:t xml:space="preserve"> </w:t>
            </w:r>
            <w:r w:rsidR="512B027A" w:rsidRPr="00266726">
              <w:rPr>
                <w:rFonts w:eastAsia="Arial" w:cs="Arial"/>
              </w:rPr>
              <w:t>€ H.T</w:t>
            </w:r>
            <w:r w:rsidR="124ED735" w:rsidRPr="00266726">
              <w:rPr>
                <w:rFonts w:eastAsia="Arial" w:cs="Arial"/>
              </w:rPr>
              <w:t xml:space="preserve"> pour chaque jour où une ou plusieurs infractions sont constatées</w:t>
            </w:r>
          </w:p>
        </w:tc>
      </w:tr>
    </w:tbl>
    <w:p w14:paraId="3DA090C0" w14:textId="23122A1E" w:rsidR="3C698118" w:rsidRDefault="3C698118"/>
    <w:p w14:paraId="2A3E9972" w14:textId="77777777" w:rsidR="0076684F" w:rsidRDefault="0076684F" w:rsidP="0076684F">
      <w:pPr>
        <w:pStyle w:val="Titre1"/>
      </w:pPr>
      <w:bookmarkStart w:id="96" w:name="_Toc62633092"/>
      <w:bookmarkStart w:id="97" w:name="_Toc206768631"/>
      <w:r>
        <w:t>Résiliation du marché</w:t>
      </w:r>
      <w:bookmarkEnd w:id="96"/>
      <w:bookmarkEnd w:id="97"/>
    </w:p>
    <w:p w14:paraId="3E9161C9" w14:textId="779BB8CB" w:rsidR="0076684F" w:rsidRPr="00AB3B09" w:rsidRDefault="0076684F" w:rsidP="0076684F">
      <w:r>
        <w:t>Il sera fait, le cas échéant</w:t>
      </w:r>
      <w:r w:rsidRPr="00AB3B09">
        <w:t>, application des art</w:t>
      </w:r>
      <w:r w:rsidR="00AB3B09" w:rsidRPr="00AB3B09">
        <w:t>icles 49 à 54</w:t>
      </w:r>
      <w:r w:rsidRPr="00AB3B09">
        <w:t xml:space="preserve"> du CCAG-Travaux avec les précisions suivantes : </w:t>
      </w:r>
    </w:p>
    <w:p w14:paraId="6A613EC6" w14:textId="77777777" w:rsidR="0076684F" w:rsidRPr="00AB3B09" w:rsidRDefault="0076684F" w:rsidP="00C75F24">
      <w:pPr>
        <w:pStyle w:val="Titre2"/>
      </w:pPr>
      <w:bookmarkStart w:id="98" w:name="_Ref210531066"/>
      <w:bookmarkStart w:id="99" w:name="_Toc211068743"/>
      <w:bookmarkStart w:id="100" w:name="_Toc55832423"/>
      <w:bookmarkStart w:id="101" w:name="_Toc55833416"/>
      <w:bookmarkStart w:id="102" w:name="_Toc62633093"/>
      <w:bookmarkStart w:id="103" w:name="_Toc206768632"/>
      <w:r w:rsidRPr="00AB3B09">
        <w:t>Résiliation pour motif d’intérêt général</w:t>
      </w:r>
      <w:bookmarkEnd w:id="98"/>
      <w:bookmarkEnd w:id="99"/>
      <w:bookmarkEnd w:id="100"/>
      <w:bookmarkEnd w:id="101"/>
      <w:bookmarkEnd w:id="102"/>
      <w:bookmarkEnd w:id="103"/>
    </w:p>
    <w:p w14:paraId="6DEDBEB2" w14:textId="40BB87D8" w:rsidR="00F40B93" w:rsidRPr="00AB3B09" w:rsidRDefault="0076684F" w:rsidP="0076684F">
      <w:r w:rsidRPr="00AB3B09">
        <w:t xml:space="preserve">Dans l’hypothèse d’une résiliation au titre de </w:t>
      </w:r>
      <w:r w:rsidR="00AB3B09" w:rsidRPr="00AB3B09">
        <w:t>l’article 50</w:t>
      </w:r>
      <w:r w:rsidRPr="00AB3B09">
        <w:t>.4 du CCAG-Travaux, sans préjudice de l'application des dispositions des alinéas 2 et 3 de l'</w:t>
      </w:r>
      <w:r w:rsidR="00AB3B09" w:rsidRPr="00AB3B09">
        <w:t>article 50</w:t>
      </w:r>
      <w:r w:rsidRPr="00AB3B09">
        <w:t>.4 du CCAG-Travaux, l’indemnité de résiliation est fixée à 2% du montant initial HT du marché, diminué du montant HT non révisé des prestations reçues.</w:t>
      </w:r>
    </w:p>
    <w:p w14:paraId="695B956D" w14:textId="77777777" w:rsidR="00DA2C44" w:rsidRPr="00AB3B09" w:rsidRDefault="00DA2C44" w:rsidP="00DA2C44">
      <w:pPr>
        <w:spacing w:after="0"/>
      </w:pPr>
    </w:p>
    <w:p w14:paraId="5ECA7B98" w14:textId="77777777" w:rsidR="0076684F" w:rsidRPr="00AB3B09" w:rsidRDefault="0076684F" w:rsidP="00C75F24">
      <w:pPr>
        <w:pStyle w:val="Titre2"/>
      </w:pPr>
      <w:bookmarkStart w:id="104" w:name="_Toc62633094"/>
      <w:bookmarkStart w:id="105" w:name="_Toc206768633"/>
      <w:r w:rsidRPr="00AB3B09">
        <w:t>Résiliation aux torts du titulaire ou cas particuliers</w:t>
      </w:r>
      <w:bookmarkEnd w:id="104"/>
      <w:bookmarkEnd w:id="105"/>
    </w:p>
    <w:p w14:paraId="2FEE9DAE" w14:textId="4D1A0BA8" w:rsidR="00A726BE" w:rsidRPr="00AB3B09" w:rsidRDefault="00A726BE" w:rsidP="00A726BE">
      <w:r w:rsidRPr="00AB3B09">
        <w:t>En cas de résiliation pour faute, il sera fait application de l’</w:t>
      </w:r>
      <w:r w:rsidR="00AB3B09" w:rsidRPr="00AB3B09">
        <w:t>article 50</w:t>
      </w:r>
      <w:r w:rsidRPr="00AB3B09">
        <w:t xml:space="preserve">.3 du CCAG-Travaux avec </w:t>
      </w:r>
      <w:r w:rsidR="00371A99" w:rsidRPr="00AB3B09">
        <w:t>notamment</w:t>
      </w:r>
      <w:r w:rsidR="00755658" w:rsidRPr="00AB3B09">
        <w:t xml:space="preserve"> la précision </w:t>
      </w:r>
      <w:r w:rsidR="1DF0E696" w:rsidRPr="00AB3B09">
        <w:t>suivante :</w:t>
      </w:r>
      <w:r w:rsidR="0076684F" w:rsidRPr="00AB3B09">
        <w:t xml:space="preserve"> </w:t>
      </w:r>
    </w:p>
    <w:p w14:paraId="72BA6AE3" w14:textId="6DA60029" w:rsidR="00963BBA" w:rsidRPr="00AB3B09" w:rsidRDefault="00A726BE" w:rsidP="003E0C5A">
      <w:pPr>
        <w:pStyle w:val="Paragraphedeliste"/>
        <w:numPr>
          <w:ilvl w:val="0"/>
          <w:numId w:val="22"/>
        </w:numPr>
      </w:pPr>
      <w:r w:rsidRPr="00AB3B09">
        <w:t>L</w:t>
      </w:r>
      <w:r w:rsidR="00D42075" w:rsidRPr="00AB3B09">
        <w:t>a résiliation n’ou</w:t>
      </w:r>
      <w:r w:rsidR="00D42075" w:rsidRPr="00AB3B09">
        <w:rPr>
          <w:rFonts w:eastAsia="Arial" w:cs="Arial"/>
        </w:rPr>
        <w:t xml:space="preserve">vre droit </w:t>
      </w:r>
      <w:r w:rsidRPr="00AB3B09">
        <w:rPr>
          <w:rFonts w:eastAsia="Arial" w:cs="Arial"/>
        </w:rPr>
        <w:t xml:space="preserve">à </w:t>
      </w:r>
      <w:r w:rsidR="0076684F" w:rsidRPr="00AB3B09">
        <w:rPr>
          <w:rFonts w:eastAsia="Arial" w:cs="Arial"/>
        </w:rPr>
        <w:t>aucune ind</w:t>
      </w:r>
      <w:r w:rsidR="0076684F" w:rsidRPr="00AB3B09">
        <w:t>emnité pour le titulaire</w:t>
      </w:r>
    </w:p>
    <w:p w14:paraId="74A0E837" w14:textId="3EF5B1FF" w:rsidR="0076684F" w:rsidRPr="007B62F5" w:rsidRDefault="0076684F" w:rsidP="00DA2C44">
      <w:pPr>
        <w:spacing w:after="0"/>
      </w:pPr>
      <w:r w:rsidRPr="007B62F5">
        <w:t xml:space="preserve"> </w:t>
      </w:r>
    </w:p>
    <w:p w14:paraId="5BF97B8B" w14:textId="5FB1A35D" w:rsidR="0076684F" w:rsidRPr="003F09E6" w:rsidRDefault="78D4EF79" w:rsidP="0076684F">
      <w:pPr>
        <w:pStyle w:val="Titre1"/>
      </w:pPr>
      <w:bookmarkStart w:id="106" w:name="_Toc55832424"/>
      <w:bookmarkStart w:id="107" w:name="_Toc55833417"/>
      <w:bookmarkStart w:id="108" w:name="_Toc62633095"/>
      <w:bookmarkStart w:id="109" w:name="_Toc206768634"/>
      <w:r w:rsidRPr="003F09E6">
        <w:t>Assurances et garanties</w:t>
      </w:r>
      <w:bookmarkEnd w:id="95"/>
      <w:bookmarkEnd w:id="106"/>
      <w:bookmarkEnd w:id="107"/>
      <w:bookmarkEnd w:id="108"/>
      <w:bookmarkEnd w:id="109"/>
    </w:p>
    <w:p w14:paraId="0D055D30" w14:textId="77777777" w:rsidR="0076684F" w:rsidRPr="003F09E6" w:rsidRDefault="0076684F" w:rsidP="00C75F24">
      <w:pPr>
        <w:pStyle w:val="Titre2"/>
      </w:pPr>
      <w:bookmarkStart w:id="110" w:name="_Toc62633096"/>
      <w:bookmarkStart w:id="111" w:name="_Toc206768635"/>
      <w:bookmarkStart w:id="112" w:name="_Toc212282951"/>
      <w:r w:rsidRPr="003F09E6">
        <w:t>Assurances</w:t>
      </w:r>
      <w:bookmarkEnd w:id="110"/>
      <w:bookmarkEnd w:id="111"/>
    </w:p>
    <w:p w14:paraId="1330A888" w14:textId="5F350F26" w:rsidR="009C206C" w:rsidRPr="00AB3B09" w:rsidRDefault="009C206C" w:rsidP="54A2575E">
      <w:pPr>
        <w:rPr>
          <w:rFonts w:eastAsia="Calibri" w:cs="Arial"/>
          <w:szCs w:val="20"/>
        </w:rPr>
      </w:pPr>
      <w:r w:rsidRPr="00AB3B09">
        <w:t>En application de l’</w:t>
      </w:r>
      <w:r w:rsidR="00AB3B09" w:rsidRPr="00AB3B09">
        <w:t>article 8</w:t>
      </w:r>
      <w:r w:rsidRPr="00AB3B09">
        <w:t xml:space="preserve"> du CCAG-travaux, du code civil et du code des assurances, le titulaire, en la personne de chacune de ses composantes, y compris les sous-traitants éventuels, doit contracter les polices d’assurances nécessaires couvrant :</w:t>
      </w:r>
    </w:p>
    <w:p w14:paraId="7A6A7267" w14:textId="6FE7B808" w:rsidR="009C206C" w:rsidRPr="00AB3B09" w:rsidRDefault="00F2399D" w:rsidP="1FED48E3">
      <w:pPr>
        <w:pStyle w:val="Paragraphedeliste"/>
        <w:numPr>
          <w:ilvl w:val="0"/>
          <w:numId w:val="5"/>
        </w:numPr>
        <w:rPr>
          <w:rFonts w:asciiTheme="minorHAnsi" w:eastAsiaTheme="minorEastAsia" w:hAnsiTheme="minorHAnsi"/>
          <w:szCs w:val="20"/>
        </w:rPr>
      </w:pPr>
      <w:r w:rsidRPr="00AB3B09">
        <w:t>Sa</w:t>
      </w:r>
      <w:r w:rsidR="009C206C" w:rsidRPr="00AB3B09">
        <w:t xml:space="preserve"> responsabilité civile en cas de préjudices causés à des tiers et du maître d’ouvrage, victimes d’accidents ou de dommages causés par l’exécution des prestations - dommage corporel, matériel et immatériel consécutif ou non du fait de la réalisation des prestations, qu’elles soient en cours de réalisation ou terminées. En cas de travaux sur existants, ces garanties sont étendues aux dommages causés aux parties anciennes de l’ouvrage</w:t>
      </w:r>
      <w:r w:rsidR="4EF36BF9" w:rsidRPr="00AB3B09">
        <w:t xml:space="preserve"> ;</w:t>
      </w:r>
    </w:p>
    <w:p w14:paraId="3452BCAE" w14:textId="42BE210E" w:rsidR="009C206C" w:rsidRPr="00AB3B09" w:rsidRDefault="00F2399D" w:rsidP="1FED48E3">
      <w:pPr>
        <w:pStyle w:val="Paragraphedeliste"/>
        <w:numPr>
          <w:ilvl w:val="0"/>
          <w:numId w:val="5"/>
        </w:numPr>
        <w:rPr>
          <w:rFonts w:asciiTheme="minorHAnsi" w:eastAsiaTheme="minorEastAsia" w:hAnsiTheme="minorHAnsi"/>
          <w:szCs w:val="20"/>
        </w:rPr>
      </w:pPr>
      <w:r w:rsidRPr="00AB3B09">
        <w:t>Sa</w:t>
      </w:r>
      <w:r w:rsidR="009C206C" w:rsidRPr="00AB3B09">
        <w:t xml:space="preserve"> responsabilité civile décennale découlant des principes dont s'inspirent les articles 1792 et suivants du Code civil, le garantissant pour la mission confiée sur l’opération.</w:t>
      </w:r>
    </w:p>
    <w:p w14:paraId="651D2F15" w14:textId="77777777" w:rsidR="009C206C" w:rsidRPr="00AB3B09" w:rsidRDefault="009C206C" w:rsidP="54A2575E">
      <w:pPr>
        <w:rPr>
          <w:rFonts w:eastAsia="Calibri" w:cs="Arial"/>
          <w:szCs w:val="20"/>
        </w:rPr>
      </w:pPr>
      <w:r w:rsidRPr="00AB3B09">
        <w:t>La police souscrite comporte au minimum les garanties de :</w:t>
      </w:r>
    </w:p>
    <w:p w14:paraId="2BA42A99" w14:textId="6A4C2264" w:rsidR="009C206C" w:rsidRPr="00AB3B09" w:rsidRDefault="009C206C" w:rsidP="1FED48E3">
      <w:pPr>
        <w:pStyle w:val="Paragraphedeliste"/>
        <w:numPr>
          <w:ilvl w:val="0"/>
          <w:numId w:val="4"/>
        </w:numPr>
        <w:rPr>
          <w:rFonts w:asciiTheme="minorHAnsi" w:eastAsiaTheme="minorEastAsia" w:hAnsiTheme="minorHAnsi"/>
          <w:szCs w:val="20"/>
        </w:rPr>
      </w:pPr>
      <w:r w:rsidRPr="00AB3B09">
        <w:t>Responsabilité civile décennale au sens des articles 1792, 1792-2 et 1792-4-1 du code civil y compris au profit des « existants totalement incorporés et techniquement indivisibles »</w:t>
      </w:r>
    </w:p>
    <w:p w14:paraId="5402ED9F" w14:textId="227F28CA" w:rsidR="009C206C" w:rsidRPr="00AB3B09" w:rsidRDefault="009C206C" w:rsidP="1FED48E3">
      <w:pPr>
        <w:pStyle w:val="Paragraphedeliste"/>
        <w:numPr>
          <w:ilvl w:val="0"/>
          <w:numId w:val="4"/>
        </w:numPr>
        <w:rPr>
          <w:rFonts w:asciiTheme="minorHAnsi" w:eastAsiaTheme="minorEastAsia" w:hAnsiTheme="minorHAnsi"/>
          <w:szCs w:val="20"/>
        </w:rPr>
      </w:pPr>
      <w:r w:rsidRPr="00AB3B09">
        <w:t>Dommages immatériels consécutifs à des sinistres découlant de l’application des responsabilités et garanties visées ci-dessus s’ils ne sont pas inclus en extension du contrat de responsabilité de droit commun.</w:t>
      </w:r>
    </w:p>
    <w:p w14:paraId="6A6AB1BB" w14:textId="1BD14497" w:rsidR="00F40B93" w:rsidRDefault="0076684F" w:rsidP="3C698118">
      <w:r w:rsidRPr="00AB3B09">
        <w:t>Dans un délai de quinze jours à compter de la notification du marché, le maître d’œuvre devra</w:t>
      </w:r>
      <w:r>
        <w:t xml:space="preserve"> fournir les attestations d’assurance correspondantes justifiant qu’il est à jour de ses cotisations et que les garanties sont en rapport avec l’importance de l’opération.</w:t>
      </w:r>
    </w:p>
    <w:p w14:paraId="46411F1C" w14:textId="77777777" w:rsidR="00DA2C44" w:rsidRDefault="00DA2C44" w:rsidP="3C698118">
      <w:pPr>
        <w:rPr>
          <w:rFonts w:eastAsia="Calibri" w:cs="Arial"/>
          <w:szCs w:val="20"/>
        </w:rPr>
      </w:pPr>
    </w:p>
    <w:p w14:paraId="377C9DE0" w14:textId="70EFD911" w:rsidR="0076684F" w:rsidRPr="003F09E6" w:rsidRDefault="0076684F" w:rsidP="00C75F24">
      <w:pPr>
        <w:pStyle w:val="Titre2"/>
      </w:pPr>
      <w:bookmarkStart w:id="113" w:name="_Toc62633097"/>
      <w:bookmarkStart w:id="114" w:name="_Toc55832426"/>
      <w:bookmarkStart w:id="115" w:name="_Toc55833419"/>
      <w:bookmarkStart w:id="116" w:name="_Toc206768636"/>
      <w:bookmarkEnd w:id="112"/>
      <w:r w:rsidRPr="003F09E6">
        <w:t>Garanties</w:t>
      </w:r>
      <w:bookmarkEnd w:id="113"/>
      <w:bookmarkEnd w:id="114"/>
      <w:bookmarkEnd w:id="115"/>
      <w:r w:rsidR="00B720CF" w:rsidRPr="003F09E6">
        <w:t xml:space="preserve"> contractuelles</w:t>
      </w:r>
      <w:bookmarkEnd w:id="116"/>
    </w:p>
    <w:p w14:paraId="42C16D52" w14:textId="0D6ABCDA" w:rsidR="0076684F" w:rsidRPr="00AB3B09" w:rsidRDefault="0076684F" w:rsidP="0076684F">
      <w:r>
        <w:t xml:space="preserve">Il est </w:t>
      </w:r>
      <w:r w:rsidR="00B720CF" w:rsidRPr="00AB3B09">
        <w:t xml:space="preserve">fait application </w:t>
      </w:r>
      <w:r w:rsidRPr="00AB3B09">
        <w:t>de l’article 44.1 du CCAG Travaux.</w:t>
      </w:r>
    </w:p>
    <w:p w14:paraId="556EA531" w14:textId="3A47E3DA" w:rsidR="00C457BD" w:rsidRPr="00FF0679" w:rsidRDefault="0076684F" w:rsidP="00FF0679">
      <w:r w:rsidRPr="00AB3B09">
        <w:t>Les garanties du constructeur de appareils d’éclairage devront être d’une durée tel que stipulé dans la description des ouvrages du CCTP.</w:t>
      </w:r>
    </w:p>
    <w:p w14:paraId="0A5E0F0D" w14:textId="7FA72454" w:rsidR="3C698118" w:rsidRDefault="3C698118" w:rsidP="3C698118"/>
    <w:p w14:paraId="74A7A604" w14:textId="132666FA" w:rsidR="0076684F" w:rsidRPr="007B62F5" w:rsidRDefault="0076684F" w:rsidP="0076684F">
      <w:pPr>
        <w:pStyle w:val="Titre1"/>
      </w:pPr>
      <w:bookmarkStart w:id="117" w:name="_Toc62633098"/>
      <w:bookmarkStart w:id="118" w:name="_Toc206768637"/>
      <w:r>
        <w:t>Clause environnementale</w:t>
      </w:r>
      <w:bookmarkEnd w:id="117"/>
      <w:bookmarkEnd w:id="118"/>
    </w:p>
    <w:p w14:paraId="26945024" w14:textId="19019F3B" w:rsidR="6CCACB18" w:rsidRDefault="00C979E6" w:rsidP="6CCACB18">
      <w:r>
        <w:t xml:space="preserve">L’Inserm, </w:t>
      </w:r>
      <w:r w:rsidRPr="00C979E6">
        <w:t>dans le cadre de sa politique de développement durable souhaite que ses partenaires adoptent une conduite vertueuse en matière de protection de l’environnement.</w:t>
      </w:r>
    </w:p>
    <w:p w14:paraId="7C68F025" w14:textId="6DA983B5" w:rsidR="00C979E6" w:rsidRDefault="00C979E6" w:rsidP="6CCACB18">
      <w:r w:rsidRPr="00C979E6">
        <w:t>Le titulaire retenu s’engage dès la prise en charge du marché, à mettre en place et adopter une organisation et un fonctionnement privilégiant le respect de l’environnement.</w:t>
      </w:r>
    </w:p>
    <w:p w14:paraId="44F20265" w14:textId="740006A7" w:rsidR="00C979E6" w:rsidRDefault="00C979E6" w:rsidP="6CCACB18">
      <w:r w:rsidRPr="00C979E6">
        <w:t>À ce titre le titulaire doit notamment :</w:t>
      </w:r>
    </w:p>
    <w:p w14:paraId="39D7D417" w14:textId="32CA769B" w:rsidR="00C979E6" w:rsidRPr="00C979E6" w:rsidRDefault="00C979E6" w:rsidP="00C979E6">
      <w:pPr>
        <w:pStyle w:val="Paragraphedeliste"/>
        <w:numPr>
          <w:ilvl w:val="0"/>
          <w:numId w:val="22"/>
        </w:numPr>
      </w:pPr>
      <w:r w:rsidRPr="00C979E6">
        <w:t>Utiliser des produits respectant l’environnement ;</w:t>
      </w:r>
    </w:p>
    <w:p w14:paraId="27F03EAA" w14:textId="36658B8A" w:rsidR="00C979E6" w:rsidRPr="00C979E6" w:rsidRDefault="00C979E6" w:rsidP="00C979E6">
      <w:pPr>
        <w:pStyle w:val="Paragraphedeliste"/>
        <w:numPr>
          <w:ilvl w:val="0"/>
          <w:numId w:val="22"/>
        </w:numPr>
      </w:pPr>
      <w:r w:rsidRPr="00C979E6">
        <w:t>Limiter les déchets de fonctionnement ;</w:t>
      </w:r>
    </w:p>
    <w:p w14:paraId="46A0BE19" w14:textId="15C3AE83" w:rsidR="00C979E6" w:rsidRPr="00C979E6" w:rsidRDefault="00C979E6" w:rsidP="00C979E6">
      <w:pPr>
        <w:pStyle w:val="Paragraphedeliste"/>
        <w:numPr>
          <w:ilvl w:val="0"/>
          <w:numId w:val="22"/>
        </w:numPr>
      </w:pPr>
      <w:r w:rsidRPr="00C979E6">
        <w:t>Recycler les déchets ;</w:t>
      </w:r>
    </w:p>
    <w:p w14:paraId="1FA9A3B8" w14:textId="110A2585" w:rsidR="00C979E6" w:rsidRPr="00C979E6" w:rsidRDefault="00C979E6" w:rsidP="00C979E6">
      <w:pPr>
        <w:pStyle w:val="Paragraphedeliste"/>
        <w:numPr>
          <w:ilvl w:val="0"/>
          <w:numId w:val="22"/>
        </w:numPr>
      </w:pPr>
      <w:r w:rsidRPr="00C979E6">
        <w:t>Faire respecter les règles du tri des déchets ;</w:t>
      </w:r>
    </w:p>
    <w:p w14:paraId="121EFC31" w14:textId="3CD359BC" w:rsidR="00C979E6" w:rsidRDefault="00C979E6" w:rsidP="00C979E6">
      <w:pPr>
        <w:pStyle w:val="Paragraphedeliste"/>
        <w:numPr>
          <w:ilvl w:val="0"/>
          <w:numId w:val="22"/>
        </w:numPr>
      </w:pPr>
      <w:r w:rsidRPr="00C979E6">
        <w:t>Prendre toutes les mesures visant à limiter la consommation d’énergie dans le</w:t>
      </w:r>
      <w:r>
        <w:t xml:space="preserve"> </w:t>
      </w:r>
      <w:r w:rsidRPr="00C979E6">
        <w:t>cadre de ses activités sur les sites d’intervention.</w:t>
      </w:r>
      <w:r>
        <w:t xml:space="preserve"> </w:t>
      </w:r>
    </w:p>
    <w:p w14:paraId="367820B2" w14:textId="77777777" w:rsidR="00C979E6" w:rsidRDefault="00C979E6" w:rsidP="00C979E6"/>
    <w:p w14:paraId="2EBE8CA2" w14:textId="54A8B9F4" w:rsidR="35D55B3B" w:rsidRDefault="35D55B3B" w:rsidP="6CCACB18">
      <w:pPr>
        <w:pStyle w:val="Titre1"/>
        <w:rPr>
          <w:color w:val="000000" w:themeColor="text1"/>
        </w:rPr>
      </w:pPr>
      <w:bookmarkStart w:id="119" w:name="_Toc206768638"/>
      <w:r w:rsidRPr="3C698118">
        <w:t>Clause RGPD</w:t>
      </w:r>
      <w:bookmarkEnd w:id="119"/>
    </w:p>
    <w:p w14:paraId="5D1AA3BC" w14:textId="77777777" w:rsidR="35D55B3B" w:rsidRDefault="35D55B3B" w:rsidP="00C75F24">
      <w:pPr>
        <w:pStyle w:val="Titre2"/>
        <w:rPr>
          <w:color w:val="000000" w:themeColor="text1"/>
        </w:rPr>
      </w:pPr>
      <w:bookmarkStart w:id="120" w:name="_Toc206768639"/>
      <w:r w:rsidRPr="3C698118">
        <w:t>Protection des données à caractère personnel</w:t>
      </w:r>
      <w:bookmarkEnd w:id="120"/>
    </w:p>
    <w:p w14:paraId="78F6D981" w14:textId="77777777" w:rsidR="35D55B3B" w:rsidRDefault="35D55B3B" w:rsidP="3C698118">
      <w:pPr>
        <w:rPr>
          <w:rFonts w:eastAsia="Arial" w:cs="Arial"/>
        </w:rPr>
      </w:pPr>
      <w:r w:rsidRPr="3C698118">
        <w:rPr>
          <w:rFonts w:eastAsia="Arial" w:cs="Arial"/>
        </w:rPr>
        <w:t>Chaque partie au marché est tenue au respect des règles relatives à la protection des données à caractère personnel, auxquelles elle a accès pour les besoins de l'exécution du marché.</w:t>
      </w:r>
    </w:p>
    <w:p w14:paraId="2098C6A6" w14:textId="514ACEEE" w:rsidR="35D55B3B" w:rsidRDefault="35D55B3B" w:rsidP="3C698118">
      <w:pPr>
        <w:rPr>
          <w:rFonts w:eastAsia="Arial" w:cs="Arial"/>
        </w:rPr>
      </w:pPr>
      <w:r w:rsidRPr="3C698118">
        <w:rPr>
          <w:rFonts w:eastAsia="Arial" w:cs="Arial"/>
        </w:rPr>
        <w:t>En cas d'évolution de la législation sur la protection des données à caractère personnel en cours d'exécution du marché, les modifications éventuelles demandées par le représentant de l’Inserm, afin de se conformer aux règles nouvelles, donnent lieu à la signature, par les parties au marché, d'un avenant.</w:t>
      </w:r>
    </w:p>
    <w:p w14:paraId="3A5F9EAE" w14:textId="19346646" w:rsidR="35D55B3B" w:rsidRDefault="35D55B3B" w:rsidP="3C698118">
      <w:pPr>
        <w:rPr>
          <w:rFonts w:eastAsia="Arial" w:cs="Arial"/>
        </w:rPr>
      </w:pPr>
      <w:r w:rsidRPr="3C698118">
        <w:rPr>
          <w:rFonts w:eastAsia="Arial" w:cs="Arial"/>
        </w:rPr>
        <w:t>Le titulaire est désigné en qualité de tiers qui est défini par le RGPD comme suit</w:t>
      </w:r>
      <w:r w:rsidR="7F69E0DF" w:rsidRPr="3C698118">
        <w:rPr>
          <w:rFonts w:eastAsia="Arial" w:cs="Arial"/>
        </w:rPr>
        <w:t xml:space="preserve"> </w:t>
      </w:r>
      <w:r w:rsidRPr="3C698118">
        <w:rPr>
          <w:rFonts w:eastAsia="Arial" w:cs="Arial"/>
        </w:rPr>
        <w:t>: « une personne physique ou morale, une autorité publique, un service ou un organisme autre que la personne concernée, le responsable du traitement, le sous-traitant et les personnes qui, placées sous l'autorité directe du responsable du traitement ou du sous-traitant, sont autorisées à traiter les données à caractère personnel ».</w:t>
      </w:r>
    </w:p>
    <w:p w14:paraId="3282D614" w14:textId="01752651" w:rsidR="35D55B3B" w:rsidRDefault="35D55B3B" w:rsidP="3C698118">
      <w:pPr>
        <w:rPr>
          <w:rFonts w:eastAsia="Arial" w:cs="Arial"/>
        </w:rPr>
      </w:pPr>
      <w:r w:rsidRPr="3C698118">
        <w:rPr>
          <w:rFonts w:eastAsia="Arial" w:cs="Arial"/>
        </w:rPr>
        <w:t>Le titulaire doit assurer la confidentialité et la sécurité des données à caractère personnel qui lui sont communiquées et qu’il ne peut les utiliser pour une finalité autre que l’exécution du présent marché.</w:t>
      </w:r>
    </w:p>
    <w:p w14:paraId="064BB17E" w14:textId="77777777" w:rsidR="00DA2C44" w:rsidRDefault="00DA2C44" w:rsidP="3C698118">
      <w:pPr>
        <w:rPr>
          <w:rFonts w:eastAsia="Arial" w:cs="Arial"/>
        </w:rPr>
      </w:pPr>
    </w:p>
    <w:p w14:paraId="3BB9E7B2" w14:textId="77777777" w:rsidR="35D55B3B" w:rsidRDefault="35D55B3B" w:rsidP="00C75F24">
      <w:pPr>
        <w:pStyle w:val="Titre2"/>
        <w:rPr>
          <w:color w:val="000000" w:themeColor="text1"/>
        </w:rPr>
      </w:pPr>
      <w:bookmarkStart w:id="121" w:name="_Toc206768640"/>
      <w:r w:rsidRPr="3C698118">
        <w:t>Obligations des parties</w:t>
      </w:r>
      <w:bookmarkEnd w:id="121"/>
    </w:p>
    <w:p w14:paraId="56BE8D4C" w14:textId="4129C0CF" w:rsidR="35D55B3B" w:rsidRDefault="35D55B3B" w:rsidP="3C698118">
      <w:pPr>
        <w:rPr>
          <w:rFonts w:eastAsia="Arial" w:cs="Arial"/>
        </w:rPr>
      </w:pPr>
      <w:r w:rsidRPr="3C698118">
        <w:rPr>
          <w:rFonts w:eastAsia="Arial" w:cs="Arial"/>
        </w:rPr>
        <w:t>Certaines données transmises par l’Inserm au titulaire en application du présent marché constituent des données à caractère personnel.</w:t>
      </w:r>
    </w:p>
    <w:p w14:paraId="10B48C21" w14:textId="77777777" w:rsidR="35D55B3B" w:rsidRDefault="35D55B3B" w:rsidP="3C698118">
      <w:pPr>
        <w:rPr>
          <w:rFonts w:eastAsia="Arial" w:cs="Arial"/>
        </w:rPr>
      </w:pPr>
      <w:r w:rsidRPr="3C698118">
        <w:rPr>
          <w:rFonts w:eastAsia="Arial" w:cs="Arial"/>
        </w:rPr>
        <w:t>Chaque membre du titulaire est tenu au respect des règles relatives à la protection des données nominatives auxquelles elle a accès pour les besoins de l’exécution du présent marché et ce durant tout le temps où celui-ci produira ses effets entre les présentes parties.</w:t>
      </w:r>
    </w:p>
    <w:p w14:paraId="5167555B" w14:textId="77777777" w:rsidR="35D55B3B" w:rsidRDefault="35D55B3B" w:rsidP="3C698118">
      <w:pPr>
        <w:rPr>
          <w:rFonts w:eastAsia="Arial" w:cs="Arial"/>
        </w:rPr>
      </w:pPr>
      <w:r w:rsidRPr="3C698118">
        <w:rPr>
          <w:rFonts w:eastAsia="Arial" w:cs="Arial"/>
        </w:rPr>
        <w:t>La réalisation des prestations par le titulaire doit ainsi respecter l’ensemble des exigences liées à la protection des données personnelles conformément aux dispositions de la loi n°78-17 du 6 janvier 1978 modifiée relative à l'informatique, aux fichiers et aux libertés et du règlement européen n°2016/679 sur la protection des données.</w:t>
      </w:r>
    </w:p>
    <w:p w14:paraId="34FED6F2" w14:textId="1CCE923A" w:rsidR="35D55B3B" w:rsidRDefault="35D55B3B" w:rsidP="3C698118">
      <w:pPr>
        <w:rPr>
          <w:rFonts w:eastAsia="Arial" w:cs="Arial"/>
        </w:rPr>
      </w:pPr>
      <w:r w:rsidRPr="3C698118">
        <w:rPr>
          <w:rFonts w:eastAsia="Arial" w:cs="Arial"/>
        </w:rPr>
        <w:t>L’Inserm, en sa qualité de responsable de traitement et le titulaire, en sa qualité de sous-traitant assurent et préservent la sécurité, la confidentialité, l’intégrité, la disponibilité et la résilience des systèmes de traitement et des données contenues.</w:t>
      </w:r>
    </w:p>
    <w:p w14:paraId="3BCC8A32" w14:textId="77777777" w:rsidR="00DA2C44" w:rsidRDefault="00DA2C44" w:rsidP="3C698118">
      <w:pPr>
        <w:rPr>
          <w:rFonts w:eastAsia="Arial" w:cs="Arial"/>
        </w:rPr>
      </w:pPr>
    </w:p>
    <w:p w14:paraId="4A59674E" w14:textId="77777777" w:rsidR="35D55B3B" w:rsidRDefault="35D55B3B" w:rsidP="00C75F24">
      <w:pPr>
        <w:pStyle w:val="Titre2"/>
        <w:rPr>
          <w:color w:val="000000" w:themeColor="text1"/>
        </w:rPr>
      </w:pPr>
      <w:bookmarkStart w:id="122" w:name="_Toc206768641"/>
      <w:r w:rsidRPr="3C698118">
        <w:t>Obligations du sous-traitant</w:t>
      </w:r>
      <w:bookmarkEnd w:id="122"/>
    </w:p>
    <w:p w14:paraId="4D0CBECB" w14:textId="1802A947" w:rsidR="35D55B3B" w:rsidRDefault="35D55B3B" w:rsidP="3C698118">
      <w:pPr>
        <w:rPr>
          <w:rFonts w:eastAsia="Arial" w:cs="Arial"/>
        </w:rPr>
      </w:pPr>
      <w:r w:rsidRPr="3C698118">
        <w:rPr>
          <w:rFonts w:eastAsia="Arial" w:cs="Arial"/>
        </w:rPr>
        <w:t xml:space="preserve">Le titulaire s'engage à ne traiter des données transmises que pour les seules finalités décrites dans le présent marché, conformément aux modalités exposées par le présent marché et à toutes instructions complémentaires données par le pouvoir adjudicateur. Si le titulaire considère qu’une instruction constitue une violation d’une disposition en vigueur, il en informe immédiatement l’Inserm. </w:t>
      </w:r>
    </w:p>
    <w:p w14:paraId="239B85F0" w14:textId="38D4D23C" w:rsidR="35D55B3B" w:rsidRDefault="35D55B3B" w:rsidP="3C698118">
      <w:pPr>
        <w:rPr>
          <w:rFonts w:eastAsia="Arial" w:cs="Arial"/>
        </w:rPr>
      </w:pPr>
      <w:r w:rsidRPr="3C698118">
        <w:rPr>
          <w:rFonts w:eastAsia="Arial" w:cs="Arial"/>
        </w:rPr>
        <w:t>Le cas échéant, le titulaire collabore avec l’Inserm pour la réalisation d’analyses d’impacts relatives à la protection des données.</w:t>
      </w:r>
    </w:p>
    <w:p w14:paraId="78BCCF11" w14:textId="77777777" w:rsidR="35D55B3B" w:rsidRDefault="35D55B3B" w:rsidP="3C698118">
      <w:pPr>
        <w:rPr>
          <w:rFonts w:eastAsia="Arial" w:cs="Arial"/>
        </w:rPr>
      </w:pPr>
      <w:r w:rsidRPr="3C698118">
        <w:rPr>
          <w:rFonts w:eastAsia="Arial" w:cs="Arial"/>
        </w:rPr>
        <w:t>Le titulaire veille à ce que les personnels autorisés à traiter les données à caractère personnel s'engagent à en respecter la confidentialité ou soient soumis à une obligation légale appropriée de confidentialité et reçoivent la formation nécessaire en matière de protection des données à caractère personnel.</w:t>
      </w:r>
    </w:p>
    <w:p w14:paraId="0E460F9E" w14:textId="77777777" w:rsidR="35D55B3B" w:rsidRDefault="35D55B3B" w:rsidP="3C698118">
      <w:pPr>
        <w:rPr>
          <w:rFonts w:eastAsia="Arial" w:cs="Arial"/>
        </w:rPr>
      </w:pPr>
      <w:r w:rsidRPr="3C698118">
        <w:rPr>
          <w:rFonts w:eastAsia="Arial" w:cs="Arial"/>
        </w:rPr>
        <w:t>Le titulaire s’oblige à prendre toutes précautions utiles afin de les protéger contre toute destruction accidentelle ou illicite, perte, altération, diffusion et de garantir que les données ne soient déformées, endommagées ou communiquées à des personnes non autorisées.</w:t>
      </w:r>
    </w:p>
    <w:p w14:paraId="7CA62BA8" w14:textId="5AF0B627" w:rsidR="35D55B3B" w:rsidRDefault="35D55B3B" w:rsidP="3C698118">
      <w:pPr>
        <w:rPr>
          <w:rFonts w:eastAsia="Arial" w:cs="Arial"/>
        </w:rPr>
      </w:pPr>
      <w:r w:rsidRPr="3C698118">
        <w:rPr>
          <w:rFonts w:eastAsia="Arial" w:cs="Arial"/>
        </w:rPr>
        <w:t>Le titulaire s’engage à mettre en œuvre une procédure visant à tester, à analyser et à évaluer régulièrement l’efficacité des mesures techniques et organisationnelles pour assurer la sécurité du traitement et atténuer les éventuelles conséquences négatives d’une faille de sécurité.</w:t>
      </w:r>
    </w:p>
    <w:p w14:paraId="443FD082" w14:textId="77777777" w:rsidR="35D55B3B" w:rsidRDefault="35D55B3B" w:rsidP="3C698118">
      <w:pPr>
        <w:rPr>
          <w:rFonts w:eastAsia="Arial" w:cs="Arial"/>
        </w:rPr>
      </w:pPr>
      <w:r w:rsidRPr="3C698118">
        <w:rPr>
          <w:rFonts w:eastAsia="Arial" w:cs="Arial"/>
        </w:rPr>
        <w:t>Il met à la disposition du pouvoir adjudicateur toutes les informations nécessaires pour démontrer le respect des obligations prévues au présent article et pour permettre la réalisation d’audits par le pouvoir adjudicateur ou tout auditeur dûment mandaté par lui.</w:t>
      </w:r>
    </w:p>
    <w:p w14:paraId="11B4C27B" w14:textId="5F3A8B91" w:rsidR="35D55B3B" w:rsidRDefault="35D55B3B" w:rsidP="3C698118">
      <w:pPr>
        <w:rPr>
          <w:rFonts w:eastAsia="Arial" w:cs="Arial"/>
        </w:rPr>
      </w:pPr>
      <w:r w:rsidRPr="3C698118">
        <w:rPr>
          <w:rFonts w:eastAsia="Arial" w:cs="Arial"/>
        </w:rPr>
        <w:t xml:space="preserve">Le titulaire s’engage à communiquer à l’Inserm dans les meilleurs délais, et sous 48 heures au plus tard après en avoir pris connaissance, la survenance de toute faille de sécurité </w:t>
      </w:r>
      <w:proofErr w:type="gramStart"/>
      <w:r w:rsidRPr="3C698118">
        <w:rPr>
          <w:rFonts w:eastAsia="Arial" w:cs="Arial"/>
        </w:rPr>
        <w:t>ayant</w:t>
      </w:r>
      <w:proofErr w:type="gramEnd"/>
      <w:r w:rsidRPr="3C698118">
        <w:rPr>
          <w:rFonts w:eastAsia="Arial" w:cs="Arial"/>
        </w:rPr>
        <w:t xml:space="preserve"> des conséquences directes sur le traitement des données personnelles ou sur le fonctionnement du système de traitement. Il lui fournit notamment toute information relative à la nature de la violation, au nombre de personnes concernées, aux catégories et au nombre d’enregistrements de données à caractère personnel concernés, ainsi qu’aux conséquences probables de la violation, aux mesures prises pour y remédier et atténuer les éventuelles conséquences négatives. Il conserve en outre tout document relatif à la violation de données, ses effets et les mesures prises pour y remédier.</w:t>
      </w:r>
    </w:p>
    <w:p w14:paraId="1C180601" w14:textId="436C8C34" w:rsidR="35D55B3B" w:rsidRDefault="35D55B3B" w:rsidP="3C698118">
      <w:pPr>
        <w:rPr>
          <w:rFonts w:eastAsia="Arial" w:cs="Arial"/>
        </w:rPr>
      </w:pPr>
      <w:r w:rsidRPr="3C698118">
        <w:rPr>
          <w:rFonts w:eastAsia="Arial" w:cs="Arial"/>
        </w:rPr>
        <w:t>Par ailleurs, il s’engage à coopérer avec l’Inserm, par des mesures techniques et organisationnelles appropriées, dans toute la mesure du possible, à permettre l’exercice, par les personnes concernées, de leurs droits d’accès, d’opposition, de rectification ou de suppression prévus par la règlementation.</w:t>
      </w:r>
    </w:p>
    <w:p w14:paraId="4EDDECC4" w14:textId="77777777" w:rsidR="35D55B3B" w:rsidRDefault="35D55B3B" w:rsidP="3C698118">
      <w:pPr>
        <w:rPr>
          <w:rFonts w:eastAsia="Arial" w:cs="Arial"/>
        </w:rPr>
      </w:pPr>
      <w:r w:rsidRPr="3C698118">
        <w:rPr>
          <w:rFonts w:eastAsia="Arial" w:cs="Arial"/>
        </w:rPr>
        <w:t>Le titulaire ne peut sous-traiter l’exécution des prestations ni procéder à une cession du présent marché sans l’accord écrit préalable du pouvoir adjudicateur et dans le respect de la règlementation applicable.</w:t>
      </w:r>
    </w:p>
    <w:p w14:paraId="3C71D7DE" w14:textId="7D2A674B" w:rsidR="35D55B3B" w:rsidRDefault="35D55B3B" w:rsidP="3C698118">
      <w:pPr>
        <w:rPr>
          <w:rFonts w:eastAsia="Arial" w:cs="Arial"/>
        </w:rPr>
      </w:pPr>
      <w:r w:rsidRPr="3C698118">
        <w:rPr>
          <w:rFonts w:eastAsia="Arial" w:cs="Arial"/>
        </w:rPr>
        <w:t xml:space="preserve">Dans ce cas, le sous-traitant est tenu de respecter les obligations du présent marché. Il appartient au titulaire de s’assurer que son sous-traitant présente les mêmes garanties suffisantes quant à la mise en œuvre de mesures techniques et organisationnelles appropriées </w:t>
      </w:r>
      <w:proofErr w:type="gramStart"/>
      <w:r w:rsidRPr="3C698118">
        <w:rPr>
          <w:rFonts w:eastAsia="Arial" w:cs="Arial"/>
        </w:rPr>
        <w:t>de manière à ce</w:t>
      </w:r>
      <w:proofErr w:type="gramEnd"/>
      <w:r w:rsidRPr="3C698118">
        <w:rPr>
          <w:rFonts w:eastAsia="Arial" w:cs="Arial"/>
        </w:rPr>
        <w:t xml:space="preserve"> que le traitement réponde aux exigences des dispositions en vigueur. Le titulaire demeure pleinement responsable devant l’Inserm des éventuels manquements de son sous-traitant en matière de protection des données.</w:t>
      </w:r>
    </w:p>
    <w:p w14:paraId="2047797B" w14:textId="4F4D7C53" w:rsidR="35D55B3B" w:rsidRDefault="35D55B3B" w:rsidP="3C698118">
      <w:pPr>
        <w:rPr>
          <w:rFonts w:eastAsia="Arial" w:cs="Arial"/>
        </w:rPr>
      </w:pPr>
      <w:r w:rsidRPr="3C698118">
        <w:rPr>
          <w:rFonts w:eastAsia="Arial" w:cs="Arial"/>
        </w:rPr>
        <w:t>En cas de changement de sous-traitance ayant un impact sur les données à caractère personnel et sur le niveau d’engagement du titulaire au titre du présent marché, ce dernier s’engage à le notifier à l’Inserm dans les plus brefs délais.</w:t>
      </w:r>
    </w:p>
    <w:p w14:paraId="5E557A26" w14:textId="77777777" w:rsidR="35D55B3B" w:rsidRDefault="35D55B3B" w:rsidP="3C698118">
      <w:pPr>
        <w:rPr>
          <w:rFonts w:eastAsia="Arial" w:cs="Arial"/>
        </w:rPr>
      </w:pPr>
      <w:r w:rsidRPr="3C698118">
        <w:rPr>
          <w:rFonts w:eastAsia="Arial" w:cs="Arial"/>
        </w:rPr>
        <w:t>Le traitement des données ne peut être localisé en dehors de l’Union européenne, sans être en stricte conformité avec les obligations énoncées dans les clauses contractuelles types de la Commission européenne ou de la CNIL applicables au transfert de données.</w:t>
      </w:r>
    </w:p>
    <w:p w14:paraId="1FA1F5C3" w14:textId="66F8D117" w:rsidR="35D55B3B" w:rsidRDefault="35D55B3B" w:rsidP="3C698118">
      <w:pPr>
        <w:rPr>
          <w:rFonts w:eastAsia="Arial" w:cs="Arial"/>
        </w:rPr>
      </w:pPr>
      <w:r w:rsidRPr="3C698118">
        <w:rPr>
          <w:rFonts w:eastAsia="Arial" w:cs="Arial"/>
        </w:rPr>
        <w:t>Le cas échéant, le titulaire communique à l’Inserm le nom et les coordonnées de son délégué à la protection des données.</w:t>
      </w:r>
    </w:p>
    <w:p w14:paraId="518A9B77" w14:textId="5F1A6E0E" w:rsidR="35D55B3B" w:rsidRDefault="35D55B3B" w:rsidP="3C698118">
      <w:pPr>
        <w:rPr>
          <w:rFonts w:eastAsia="Arial" w:cs="Arial"/>
        </w:rPr>
      </w:pPr>
      <w:r w:rsidRPr="34DD3CF9">
        <w:rPr>
          <w:rFonts w:eastAsia="Arial" w:cs="Arial"/>
        </w:rPr>
        <w:t>En cas de manquement à ces dispositions, la responsabilité du titulaire pourra être engagée, sans préjudice d’éventuelles actions récursoires pour les dommages qui lui sont imputables.</w:t>
      </w:r>
    </w:p>
    <w:p w14:paraId="1E8B4746" w14:textId="10847A6C" w:rsidR="34DD3CF9" w:rsidRDefault="34DD3CF9" w:rsidP="34DD3CF9">
      <w:pPr>
        <w:rPr>
          <w:rFonts w:eastAsia="Calibri" w:cs="Arial"/>
          <w:szCs w:val="20"/>
        </w:rPr>
      </w:pPr>
    </w:p>
    <w:p w14:paraId="18C8866A" w14:textId="2F399CD9" w:rsidR="0F75F3C2" w:rsidRDefault="0F75F3C2" w:rsidP="5804741D">
      <w:pPr>
        <w:pStyle w:val="Titre1"/>
      </w:pPr>
      <w:bookmarkStart w:id="123" w:name="_Toc206768642"/>
      <w:r>
        <w:t>Dispositif de vigilance (</w:t>
      </w:r>
      <w:r w:rsidR="675C43E2">
        <w:t>a</w:t>
      </w:r>
      <w:r>
        <w:t>rticle D 8222-5 du code du travail)</w:t>
      </w:r>
      <w:bookmarkEnd w:id="123"/>
    </w:p>
    <w:p w14:paraId="67911027" w14:textId="037A6908" w:rsidR="0F75F3C2" w:rsidRDefault="0F75F3C2" w:rsidP="34DD3CF9">
      <w:pPr>
        <w:rPr>
          <w:rFonts w:eastAsia="Arial" w:cs="Arial"/>
          <w:szCs w:val="20"/>
        </w:rPr>
      </w:pPr>
      <w:r w:rsidRPr="34DD3CF9">
        <w:rPr>
          <w:rFonts w:eastAsia="Arial" w:cs="Arial"/>
          <w:szCs w:val="20"/>
        </w:rPr>
        <w:t>Le titulaire s’engage à fournir tous les 6 mois à compter de la notification du marché et jusqu’à la fin de l’exécution de celui-ci, les pièces et attestations sur l’honneur prévues à l’article D 8222-5 ou D 8222-7 du code du travail.</w:t>
      </w:r>
    </w:p>
    <w:p w14:paraId="66A81D8B" w14:textId="24A7D9A2" w:rsidR="0F75F3C2" w:rsidRDefault="0F75F3C2" w:rsidP="34DD3CF9">
      <w:pPr>
        <w:rPr>
          <w:rFonts w:eastAsia="Arial" w:cs="Arial"/>
          <w:szCs w:val="20"/>
        </w:rPr>
      </w:pPr>
      <w:r w:rsidRPr="34DD3CF9">
        <w:rPr>
          <w:rFonts w:eastAsia="Arial" w:cs="Arial"/>
          <w:szCs w:val="20"/>
        </w:rPr>
        <w:t>Les pièces et attestations mentionnées ci-dessus sont déposées par le titulaire sur la plateforme en ligne mise à disposition, gratuitement, à l’adresse suivante :</w:t>
      </w:r>
    </w:p>
    <w:p w14:paraId="43387915" w14:textId="03B22BAC" w:rsidR="0F75F3C2" w:rsidRPr="00AB3B09" w:rsidRDefault="00405C1D" w:rsidP="34DD3CF9">
      <w:pPr>
        <w:rPr>
          <w:rFonts w:eastAsia="Arial" w:cs="Arial"/>
          <w:b/>
          <w:szCs w:val="20"/>
        </w:rPr>
      </w:pPr>
      <w:hyperlink r:id="rId21" w:history="1">
        <w:r w:rsidRPr="000964F5">
          <w:rPr>
            <w:rStyle w:val="Lienhypertexte"/>
            <w:rFonts w:eastAsia="Segoe UI" w:cs="Arial"/>
            <w:b/>
            <w:szCs w:val="20"/>
          </w:rPr>
          <w:t>https://www.e-attestations.com</w:t>
        </w:r>
      </w:hyperlink>
    </w:p>
    <w:p w14:paraId="325570BF" w14:textId="361FCEB0" w:rsidR="0F75F3C2" w:rsidRDefault="0F75F3C2" w:rsidP="34DD3CF9">
      <w:pPr>
        <w:rPr>
          <w:rFonts w:eastAsia="Arial" w:cs="Arial"/>
          <w:szCs w:val="20"/>
        </w:rPr>
      </w:pPr>
      <w:r w:rsidRPr="34DD3CF9">
        <w:rPr>
          <w:rFonts w:eastAsia="Arial" w:cs="Arial"/>
          <w:szCs w:val="20"/>
        </w:rPr>
        <w:t>A défaut, le marché pourra être résilié aux torts du titulaire. Ainsi le Pouvoir adjudicateur pourra faire procéder par un tiers à l'exécution des prestations prévues par le marché, aux frais et risques du titulaire.</w:t>
      </w:r>
    </w:p>
    <w:p w14:paraId="3AD0AE17" w14:textId="700A507E" w:rsidR="5804741D" w:rsidRDefault="5804741D" w:rsidP="5804741D"/>
    <w:p w14:paraId="2B6EE49B" w14:textId="075CE957" w:rsidR="0076684F" w:rsidRDefault="0076684F" w:rsidP="0076684F">
      <w:pPr>
        <w:pStyle w:val="Titre1"/>
      </w:pPr>
      <w:bookmarkStart w:id="124" w:name="_Toc211068752"/>
      <w:bookmarkStart w:id="125" w:name="_Toc55832428"/>
      <w:bookmarkStart w:id="126" w:name="_Toc55833421"/>
      <w:bookmarkStart w:id="127" w:name="_Toc62633099"/>
      <w:bookmarkStart w:id="128" w:name="_Toc206768643"/>
      <w:r>
        <w:t>Règlement des différents</w:t>
      </w:r>
      <w:bookmarkEnd w:id="124"/>
      <w:bookmarkEnd w:id="125"/>
      <w:bookmarkEnd w:id="126"/>
      <w:bookmarkEnd w:id="127"/>
      <w:bookmarkEnd w:id="128"/>
    </w:p>
    <w:p w14:paraId="5844E347" w14:textId="77777777" w:rsidR="0076684F" w:rsidRDefault="0076684F" w:rsidP="54A2575E">
      <w:pPr>
        <w:rPr>
          <w:rFonts w:eastAsia="Calibri" w:cs="Arial"/>
          <w:szCs w:val="20"/>
        </w:rPr>
      </w:pPr>
      <w:r>
        <w:t>Pour toute contestation qui s'élèverait entre les Parties, relativement à l'interprétation ou à l'exécution du présent marché les parties s'engagent à soumettre leur différend, préalablement à toute instance juridictionnelle, à des conciliateurs désignés par chacune d'elles, à moins qu'elles ne s'entendent sur la désignation d'un conciliateur unique conformément aux conditions fixées par les chapitres Ier et II du titre II du livre IV du code des relations entre le public et l'administration.</w:t>
      </w:r>
    </w:p>
    <w:p w14:paraId="65CFF3E1" w14:textId="77777777" w:rsidR="0076684F" w:rsidRDefault="0076684F" w:rsidP="54A2575E">
      <w:pPr>
        <w:rPr>
          <w:rFonts w:eastAsia="Calibri" w:cs="Arial"/>
          <w:szCs w:val="20"/>
        </w:rPr>
      </w:pPr>
      <w:r>
        <w:t xml:space="preserve">Le ou les conciliateurs s'efforceront de régler les difficultés et de faire accepter par la partie une solution amiable dans un délai de soixante (60) jours, à compter de la date de désignation du ou des conciliateurs. </w:t>
      </w:r>
    </w:p>
    <w:p w14:paraId="75CBFDD0" w14:textId="77777777" w:rsidR="0076684F" w:rsidRPr="008000F6" w:rsidRDefault="0076684F" w:rsidP="54A2575E">
      <w:pPr>
        <w:rPr>
          <w:rFonts w:eastAsia="Calibri" w:cs="Arial"/>
          <w:szCs w:val="20"/>
        </w:rPr>
      </w:pPr>
      <w:r>
        <w:t>En aucun cas ou pour quelque motif que ce soit, les contestations qui pourraient survenir entre l’Inserm d’une part et le titulaire d’autre part, ne pourront être invoquées par ce dernier comme cause d’arrêt ou de suspension momentanée des prestations à effectuer.</w:t>
      </w:r>
    </w:p>
    <w:p w14:paraId="7972511B" w14:textId="342F8EA9" w:rsidR="00BF54A0" w:rsidRDefault="0076684F" w:rsidP="54A2575E">
      <w:pPr>
        <w:rPr>
          <w:rFonts w:eastAsia="Calibri" w:cs="Arial"/>
          <w:szCs w:val="20"/>
        </w:rPr>
      </w:pPr>
      <w:r>
        <w:t>A défaut de conciliation, le litige pourra être porté devant la juridiction compétente.</w:t>
      </w:r>
    </w:p>
    <w:p w14:paraId="2A9AA478" w14:textId="5B1A5EBB" w:rsidR="00BF54A0" w:rsidRPr="00A730DA" w:rsidRDefault="00BF54A0" w:rsidP="54A2575E">
      <w:pPr>
        <w:rPr>
          <w:rFonts w:eastAsia="Calibri" w:cs="Arial"/>
          <w:szCs w:val="20"/>
        </w:rPr>
      </w:pPr>
      <w:r>
        <w:t xml:space="preserve">L’instance chargée des procédures de recours et service auprès duquel des renseignements peuvent être obtenus concernant l’introduction des recours et en cas de litige résultant de l’application des clauses du présent marché, le tribunal administratif de </w:t>
      </w:r>
      <w:r w:rsidR="005B4BCB">
        <w:t xml:space="preserve">Lyon </w:t>
      </w:r>
      <w:r>
        <w:t>est seul compétent.</w:t>
      </w:r>
    </w:p>
    <w:p w14:paraId="600154A4" w14:textId="616CF691" w:rsidR="00C457BD" w:rsidRPr="008000F6" w:rsidRDefault="00C457BD" w:rsidP="0076684F"/>
    <w:p w14:paraId="62E670CF" w14:textId="2795A599" w:rsidR="0076684F" w:rsidRPr="00AB3B09" w:rsidRDefault="0076684F" w:rsidP="0076684F">
      <w:pPr>
        <w:pStyle w:val="Titre1"/>
      </w:pPr>
      <w:bookmarkStart w:id="129" w:name="_Toc212282953"/>
      <w:bookmarkStart w:id="130" w:name="_Toc55832429"/>
      <w:bookmarkStart w:id="131" w:name="_Toc55833422"/>
      <w:bookmarkStart w:id="132" w:name="_Toc62633100"/>
      <w:bookmarkStart w:id="133" w:name="_Toc206768644"/>
      <w:r w:rsidRPr="00AB3B09">
        <w:t>Dérogations au CCAG</w:t>
      </w:r>
      <w:bookmarkEnd w:id="129"/>
      <w:bookmarkEnd w:id="130"/>
      <w:bookmarkEnd w:id="131"/>
      <w:r w:rsidRPr="00AB3B09">
        <w:t>-Travaux</w:t>
      </w:r>
      <w:bookmarkEnd w:id="132"/>
      <w:bookmarkEnd w:id="133"/>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402"/>
      </w:tblGrid>
      <w:tr w:rsidR="0076684F" w:rsidRPr="00AB3B09" w14:paraId="3B8152D5" w14:textId="77777777" w:rsidTr="34DD3CF9">
        <w:trPr>
          <w:cantSplit/>
          <w:trHeight w:val="794"/>
          <w:tblHeader/>
          <w:jc w:val="center"/>
        </w:trPr>
        <w:tc>
          <w:tcPr>
            <w:tcW w:w="3402" w:type="dxa"/>
            <w:shd w:val="clear" w:color="auto" w:fill="D9E2F3" w:themeFill="accent5" w:themeFillTint="33"/>
            <w:vAlign w:val="center"/>
          </w:tcPr>
          <w:p w14:paraId="3D82AB23" w14:textId="29A33D83" w:rsidR="0076684F" w:rsidRPr="00AB3B09" w:rsidRDefault="0076684F" w:rsidP="00F40B93">
            <w:pPr>
              <w:keepNext/>
              <w:spacing w:after="0"/>
              <w:jc w:val="center"/>
              <w:rPr>
                <w:rFonts w:cs="Arial"/>
              </w:rPr>
            </w:pPr>
            <w:r w:rsidRPr="00AB3B09">
              <w:rPr>
                <w:b/>
                <w:bCs/>
              </w:rPr>
              <w:t>Article</w:t>
            </w:r>
            <w:r w:rsidR="265CF1CD" w:rsidRPr="00AB3B09">
              <w:rPr>
                <w:b/>
                <w:bCs/>
              </w:rPr>
              <w:t>s</w:t>
            </w:r>
            <w:r w:rsidRPr="00AB3B09">
              <w:rPr>
                <w:b/>
                <w:bCs/>
              </w:rPr>
              <w:t xml:space="preserve"> du CCAP par le</w:t>
            </w:r>
            <w:r w:rsidR="66CC422D" w:rsidRPr="00AB3B09">
              <w:rPr>
                <w:b/>
                <w:bCs/>
              </w:rPr>
              <w:t>s</w:t>
            </w:r>
            <w:r w:rsidRPr="00AB3B09">
              <w:rPr>
                <w:b/>
                <w:bCs/>
              </w:rPr>
              <w:t>quel</w:t>
            </w:r>
            <w:r w:rsidR="17058720" w:rsidRPr="00AB3B09">
              <w:rPr>
                <w:b/>
                <w:bCs/>
              </w:rPr>
              <w:t>s</w:t>
            </w:r>
            <w:r w:rsidRPr="00AB3B09">
              <w:rPr>
                <w:b/>
                <w:bCs/>
              </w:rPr>
              <w:t xml:space="preserve"> est introduite cette dérogation</w:t>
            </w:r>
          </w:p>
        </w:tc>
        <w:tc>
          <w:tcPr>
            <w:tcW w:w="3402" w:type="dxa"/>
            <w:shd w:val="clear" w:color="auto" w:fill="D9E2F3" w:themeFill="accent5" w:themeFillTint="33"/>
            <w:vAlign w:val="center"/>
          </w:tcPr>
          <w:p w14:paraId="58EC33CE" w14:textId="0D8AA478" w:rsidR="0076684F" w:rsidRPr="00AB3B09" w:rsidRDefault="0076684F" w:rsidP="00F40B93">
            <w:pPr>
              <w:spacing w:after="0"/>
              <w:jc w:val="center"/>
              <w:rPr>
                <w:b/>
                <w:bCs/>
              </w:rPr>
            </w:pPr>
            <w:r w:rsidRPr="00AB3B09">
              <w:rPr>
                <w:b/>
                <w:bCs/>
              </w:rPr>
              <w:t>Articles du CCAG-Travaux</w:t>
            </w:r>
          </w:p>
          <w:p w14:paraId="788C5AB9" w14:textId="0306724D" w:rsidR="0076684F" w:rsidRPr="00AB3B09" w:rsidRDefault="0076684F" w:rsidP="34DD3CF9">
            <w:pPr>
              <w:keepNext/>
              <w:spacing w:after="0"/>
              <w:jc w:val="center"/>
              <w:rPr>
                <w:rFonts w:cs="Arial"/>
                <w:b/>
                <w:bCs/>
              </w:rPr>
            </w:pPr>
            <w:r w:rsidRPr="00AB3B09">
              <w:rPr>
                <w:b/>
                <w:bCs/>
              </w:rPr>
              <w:t>au</w:t>
            </w:r>
            <w:r w:rsidR="76D277BF" w:rsidRPr="00AB3B09">
              <w:rPr>
                <w:b/>
                <w:bCs/>
              </w:rPr>
              <w:t>x</w:t>
            </w:r>
            <w:r w:rsidRPr="00AB3B09">
              <w:rPr>
                <w:b/>
                <w:bCs/>
              </w:rPr>
              <w:t>quel</w:t>
            </w:r>
            <w:r w:rsidR="266D5B9E" w:rsidRPr="00AB3B09">
              <w:rPr>
                <w:b/>
                <w:bCs/>
              </w:rPr>
              <w:t>s</w:t>
            </w:r>
            <w:r w:rsidRPr="00AB3B09">
              <w:rPr>
                <w:b/>
                <w:bCs/>
              </w:rPr>
              <w:t xml:space="preserve"> il est dérogé</w:t>
            </w:r>
          </w:p>
        </w:tc>
      </w:tr>
      <w:tr w:rsidR="005078FA" w:rsidRPr="00AB3B09" w14:paraId="183ED672" w14:textId="77777777" w:rsidTr="34DD3CF9">
        <w:trPr>
          <w:cantSplit/>
          <w:trHeight w:val="340"/>
          <w:jc w:val="center"/>
        </w:trPr>
        <w:tc>
          <w:tcPr>
            <w:tcW w:w="3402" w:type="dxa"/>
            <w:vAlign w:val="center"/>
          </w:tcPr>
          <w:p w14:paraId="31391C45" w14:textId="1CD93E1A" w:rsidR="005078FA" w:rsidRPr="00AB3B09" w:rsidRDefault="16ACB199" w:rsidP="005078FA">
            <w:pPr>
              <w:keepNext/>
              <w:rPr>
                <w:rFonts w:cs="Arial"/>
              </w:rPr>
            </w:pPr>
            <w:r w:rsidRPr="00AB3B09">
              <w:rPr>
                <w:rFonts w:cs="Arial"/>
              </w:rPr>
              <w:t>3</w:t>
            </w:r>
          </w:p>
        </w:tc>
        <w:tc>
          <w:tcPr>
            <w:tcW w:w="3402" w:type="dxa"/>
            <w:vAlign w:val="center"/>
          </w:tcPr>
          <w:p w14:paraId="76FE6392" w14:textId="18BEE399" w:rsidR="005078FA" w:rsidRPr="00AB3B09" w:rsidRDefault="00AB3B09" w:rsidP="34DD3CF9">
            <w:pPr>
              <w:spacing w:after="0"/>
              <w:jc w:val="left"/>
              <w:rPr>
                <w:rFonts w:eastAsia="Calibri" w:cs="Arial"/>
                <w:szCs w:val="20"/>
              </w:rPr>
            </w:pPr>
            <w:r w:rsidRPr="00AB3B09">
              <w:t>4.2</w:t>
            </w:r>
          </w:p>
        </w:tc>
      </w:tr>
      <w:tr w:rsidR="00347455" w:rsidRPr="00AB3B09" w14:paraId="45AA9DA5" w14:textId="77777777" w:rsidTr="34DD3CF9">
        <w:trPr>
          <w:cantSplit/>
          <w:trHeight w:val="340"/>
          <w:jc w:val="center"/>
        </w:trPr>
        <w:tc>
          <w:tcPr>
            <w:tcW w:w="3402" w:type="dxa"/>
            <w:vAlign w:val="center"/>
          </w:tcPr>
          <w:p w14:paraId="485E22EA" w14:textId="6E8F71F4" w:rsidR="00347455" w:rsidRPr="00AB3B09" w:rsidRDefault="00347455" w:rsidP="005078FA">
            <w:pPr>
              <w:keepNext/>
              <w:rPr>
                <w:rFonts w:cs="Arial"/>
              </w:rPr>
            </w:pPr>
            <w:r w:rsidRPr="00AB3B09">
              <w:rPr>
                <w:rFonts w:cs="Arial"/>
              </w:rPr>
              <w:t>4.4.1</w:t>
            </w:r>
          </w:p>
        </w:tc>
        <w:tc>
          <w:tcPr>
            <w:tcW w:w="3402" w:type="dxa"/>
            <w:vAlign w:val="center"/>
          </w:tcPr>
          <w:p w14:paraId="5E6E39C2" w14:textId="382B0719" w:rsidR="00347455" w:rsidRPr="00AB3B09" w:rsidRDefault="2FF3BFC0" w:rsidP="005078FA">
            <w:pPr>
              <w:keepNext/>
              <w:jc w:val="left"/>
            </w:pPr>
            <w:r w:rsidRPr="00AB3B09">
              <w:t>28.1</w:t>
            </w:r>
            <w:r w:rsidR="3F48A596" w:rsidRPr="00AB3B09">
              <w:t xml:space="preserve"> et 28.2</w:t>
            </w:r>
            <w:r w:rsidR="00405C1D">
              <w:t>.2</w:t>
            </w:r>
          </w:p>
        </w:tc>
      </w:tr>
      <w:tr w:rsidR="34DD3CF9" w:rsidRPr="00AB3B09" w14:paraId="6A4F171E" w14:textId="77777777" w:rsidTr="34DD3CF9">
        <w:trPr>
          <w:cantSplit/>
          <w:trHeight w:val="340"/>
          <w:jc w:val="center"/>
        </w:trPr>
        <w:tc>
          <w:tcPr>
            <w:tcW w:w="3402" w:type="dxa"/>
            <w:vAlign w:val="center"/>
          </w:tcPr>
          <w:p w14:paraId="5B1464A7" w14:textId="65D3A2DC" w:rsidR="34DD3CF9" w:rsidRPr="00AB3B09" w:rsidRDefault="34DD3CF9" w:rsidP="34DD3CF9">
            <w:pPr>
              <w:rPr>
                <w:rFonts w:cs="Arial"/>
              </w:rPr>
            </w:pPr>
            <w:r w:rsidRPr="00AB3B09">
              <w:rPr>
                <w:rFonts w:cs="Arial"/>
              </w:rPr>
              <w:t>5.2.2</w:t>
            </w:r>
          </w:p>
        </w:tc>
        <w:tc>
          <w:tcPr>
            <w:tcW w:w="3402" w:type="dxa"/>
            <w:vAlign w:val="center"/>
          </w:tcPr>
          <w:p w14:paraId="7BF55EE7" w14:textId="6394DAD6" w:rsidR="34DD3CF9" w:rsidRPr="00AB3B09" w:rsidRDefault="34DD3CF9" w:rsidP="34DD3CF9">
            <w:pPr>
              <w:jc w:val="left"/>
            </w:pPr>
            <w:r w:rsidRPr="00AB3B09">
              <w:t>40</w:t>
            </w:r>
          </w:p>
        </w:tc>
      </w:tr>
      <w:tr w:rsidR="005078FA" w:rsidRPr="00AB3B09" w14:paraId="35B5DAFC" w14:textId="77777777" w:rsidTr="34DD3CF9">
        <w:trPr>
          <w:cantSplit/>
          <w:trHeight w:val="340"/>
          <w:jc w:val="center"/>
        </w:trPr>
        <w:tc>
          <w:tcPr>
            <w:tcW w:w="3402" w:type="dxa"/>
            <w:vAlign w:val="center"/>
          </w:tcPr>
          <w:p w14:paraId="3F3AFD6C" w14:textId="76D41FB1" w:rsidR="005078FA" w:rsidRPr="00AB3B09" w:rsidRDefault="1DFF126B" w:rsidP="005078FA">
            <w:pPr>
              <w:rPr>
                <w:rFonts w:cs="Arial"/>
              </w:rPr>
            </w:pPr>
            <w:r w:rsidRPr="00AB3B09">
              <w:rPr>
                <w:rFonts w:cs="Arial"/>
              </w:rPr>
              <w:t>7</w:t>
            </w:r>
            <w:r w:rsidR="3C2750EE" w:rsidRPr="00AB3B09">
              <w:rPr>
                <w:rFonts w:cs="Arial"/>
              </w:rPr>
              <w:t>.2</w:t>
            </w:r>
          </w:p>
        </w:tc>
        <w:tc>
          <w:tcPr>
            <w:tcW w:w="3402" w:type="dxa"/>
            <w:vAlign w:val="center"/>
          </w:tcPr>
          <w:p w14:paraId="5518DBD2" w14:textId="7CD9FED1" w:rsidR="005078FA" w:rsidRPr="00AB3B09" w:rsidRDefault="00AB3B09" w:rsidP="005078FA">
            <w:pPr>
              <w:rPr>
                <w:rFonts w:cs="Arial"/>
              </w:rPr>
            </w:pPr>
            <w:r w:rsidRPr="00AB3B09">
              <w:rPr>
                <w:rFonts w:cs="Arial"/>
              </w:rPr>
              <w:t>18.2</w:t>
            </w:r>
          </w:p>
        </w:tc>
      </w:tr>
      <w:tr w:rsidR="34DD3CF9" w14:paraId="2742A387" w14:textId="77777777" w:rsidTr="34DD3CF9">
        <w:trPr>
          <w:cantSplit/>
          <w:trHeight w:val="340"/>
          <w:jc w:val="center"/>
        </w:trPr>
        <w:tc>
          <w:tcPr>
            <w:tcW w:w="3402" w:type="dxa"/>
            <w:vAlign w:val="center"/>
          </w:tcPr>
          <w:p w14:paraId="70DFF6A0" w14:textId="3E6BB3DA" w:rsidR="34DD3CF9" w:rsidRPr="00AB3B09" w:rsidRDefault="34DD3CF9" w:rsidP="34DD3CF9">
            <w:pPr>
              <w:rPr>
                <w:rFonts w:cs="Arial"/>
              </w:rPr>
            </w:pPr>
            <w:r w:rsidRPr="00AB3B09">
              <w:rPr>
                <w:rFonts w:cs="Arial"/>
              </w:rPr>
              <w:t>8</w:t>
            </w:r>
          </w:p>
        </w:tc>
        <w:tc>
          <w:tcPr>
            <w:tcW w:w="3402" w:type="dxa"/>
            <w:vAlign w:val="center"/>
          </w:tcPr>
          <w:p w14:paraId="1D58F31B" w14:textId="7828C75A" w:rsidR="34DD3CF9" w:rsidRDefault="00AB3B09" w:rsidP="34DD3CF9">
            <w:pPr>
              <w:rPr>
                <w:rFonts w:cs="Arial"/>
              </w:rPr>
            </w:pPr>
            <w:r w:rsidRPr="00AB3B09">
              <w:rPr>
                <w:rFonts w:cs="Arial"/>
              </w:rPr>
              <w:t>19</w:t>
            </w:r>
          </w:p>
        </w:tc>
      </w:tr>
    </w:tbl>
    <w:p w14:paraId="2D5F6768" w14:textId="60ACBC74" w:rsidR="00336829" w:rsidRPr="0076684F" w:rsidRDefault="00336829" w:rsidP="3C698118">
      <w:pPr>
        <w:rPr>
          <w:rFonts w:eastAsia="Calibri" w:cs="Arial"/>
          <w:szCs w:val="20"/>
        </w:rPr>
      </w:pPr>
    </w:p>
    <w:sectPr w:rsidR="00336829" w:rsidRPr="0076684F" w:rsidSect="00384920">
      <w:footerReference w:type="default" r:id="rId22"/>
      <w:type w:val="continuous"/>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2883D" w14:textId="77777777" w:rsidR="00D63AA0" w:rsidRDefault="00D63AA0" w:rsidP="009C574E">
      <w:pPr>
        <w:spacing w:after="0" w:line="240" w:lineRule="auto"/>
      </w:pPr>
      <w:r>
        <w:separator/>
      </w:r>
    </w:p>
    <w:p w14:paraId="28C18492" w14:textId="77777777" w:rsidR="00D63AA0" w:rsidRDefault="00D63AA0"/>
  </w:endnote>
  <w:endnote w:type="continuationSeparator" w:id="0">
    <w:p w14:paraId="78374622" w14:textId="77777777" w:rsidR="00D63AA0" w:rsidRDefault="00D63AA0" w:rsidP="009C574E">
      <w:pPr>
        <w:spacing w:after="0" w:line="240" w:lineRule="auto"/>
      </w:pPr>
      <w:r>
        <w:continuationSeparator/>
      </w:r>
    </w:p>
    <w:p w14:paraId="7B8A7637" w14:textId="77777777" w:rsidR="00D63AA0" w:rsidRDefault="00D63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1923520368"/>
      <w:docPartObj>
        <w:docPartGallery w:val="Page Numbers (Bottom of Page)"/>
        <w:docPartUnique/>
      </w:docPartObj>
    </w:sdtPr>
    <w:sdtEndPr/>
    <w:sdtContent>
      <w:sdt>
        <w:sdtPr>
          <w:rPr>
            <w:rFonts w:cs="Arial"/>
            <w:sz w:val="16"/>
            <w:szCs w:val="16"/>
          </w:rPr>
          <w:id w:val="47581185"/>
          <w:docPartObj>
            <w:docPartGallery w:val="Page Numbers (Top of Page)"/>
            <w:docPartUnique/>
          </w:docPartObj>
        </w:sdtPr>
        <w:sdtEndPr/>
        <w:sdtContent>
          <w:p w14:paraId="2F767204" w14:textId="77777777" w:rsidR="006C5F9C" w:rsidRDefault="006C5F9C" w:rsidP="008B7EE5">
            <w:pPr>
              <w:pStyle w:val="Pieddepage"/>
              <w:rPr>
                <w:rFonts w:cs="Arial"/>
                <w:sz w:val="16"/>
                <w:szCs w:val="16"/>
              </w:rPr>
            </w:pPr>
            <w:r w:rsidRPr="00D80C51">
              <w:rPr>
                <w:rFonts w:cs="Arial"/>
                <w:sz w:val="16"/>
                <w:szCs w:val="16"/>
                <w:highlight w:val="green"/>
              </w:rPr>
              <w:t>Cahier des clauses admi</w:t>
            </w:r>
            <w:r>
              <w:rPr>
                <w:rFonts w:cs="Arial"/>
                <w:sz w:val="16"/>
                <w:szCs w:val="16"/>
                <w:highlight w:val="green"/>
              </w:rPr>
              <w:t xml:space="preserve">nistratives particulières </w:t>
            </w:r>
          </w:p>
          <w:p w14:paraId="6E00CE56" w14:textId="30850E22" w:rsidR="006C5F9C" w:rsidRPr="00FE4E1E" w:rsidRDefault="006C5F9C" w:rsidP="008B7EE5">
            <w:pPr>
              <w:pStyle w:val="Pieddepage"/>
              <w:rPr>
                <w:rFonts w:cs="Arial"/>
                <w:sz w:val="16"/>
                <w:szCs w:val="16"/>
              </w:rPr>
            </w:pPr>
            <w:r w:rsidRPr="00FE4E1E">
              <w:rPr>
                <w:rFonts w:cs="Arial"/>
                <w:sz w:val="16"/>
                <w:szCs w:val="16"/>
                <w:highlight w:val="yellow"/>
              </w:rPr>
              <w:t>Intitulé de la consultation</w:t>
            </w:r>
            <w:r w:rsidRPr="00FE4E1E">
              <w:rPr>
                <w:rFonts w:cs="Arial"/>
                <w:sz w:val="16"/>
                <w:szCs w:val="16"/>
              </w:rPr>
              <w:tab/>
              <w:t xml:space="preserve">Page </w:t>
            </w:r>
            <w:r w:rsidRPr="00FE4E1E">
              <w:rPr>
                <w:rFonts w:cs="Arial"/>
                <w:bCs/>
                <w:sz w:val="16"/>
                <w:szCs w:val="16"/>
              </w:rPr>
              <w:fldChar w:fldCharType="begin"/>
            </w:r>
            <w:r w:rsidRPr="00FE4E1E">
              <w:rPr>
                <w:rFonts w:cs="Arial"/>
                <w:bCs/>
                <w:sz w:val="16"/>
                <w:szCs w:val="16"/>
              </w:rPr>
              <w:instrText>PAGE</w:instrText>
            </w:r>
            <w:r w:rsidRPr="00FE4E1E">
              <w:rPr>
                <w:rFonts w:cs="Arial"/>
                <w:bCs/>
                <w:sz w:val="16"/>
                <w:szCs w:val="16"/>
              </w:rPr>
              <w:fldChar w:fldCharType="separate"/>
            </w:r>
            <w:r>
              <w:rPr>
                <w:rFonts w:cs="Arial"/>
                <w:bCs/>
                <w:noProof/>
                <w:sz w:val="16"/>
                <w:szCs w:val="16"/>
              </w:rPr>
              <w:t>11</w:t>
            </w:r>
            <w:r w:rsidRPr="00FE4E1E">
              <w:rPr>
                <w:rFonts w:cs="Arial"/>
                <w:bCs/>
                <w:sz w:val="16"/>
                <w:szCs w:val="16"/>
              </w:rPr>
              <w:fldChar w:fldCharType="end"/>
            </w:r>
            <w:r w:rsidRPr="00FE4E1E">
              <w:rPr>
                <w:rFonts w:cs="Arial"/>
                <w:sz w:val="16"/>
                <w:szCs w:val="16"/>
              </w:rPr>
              <w:t xml:space="preserve"> sur </w:t>
            </w:r>
            <w:r w:rsidRPr="00FE4E1E">
              <w:rPr>
                <w:rFonts w:cs="Arial"/>
                <w:bCs/>
                <w:sz w:val="16"/>
                <w:szCs w:val="16"/>
              </w:rPr>
              <w:fldChar w:fldCharType="begin"/>
            </w:r>
            <w:r w:rsidRPr="00FE4E1E">
              <w:rPr>
                <w:rFonts w:cs="Arial"/>
                <w:bCs/>
                <w:sz w:val="16"/>
                <w:szCs w:val="16"/>
              </w:rPr>
              <w:instrText>NUMPAGES</w:instrText>
            </w:r>
            <w:r w:rsidRPr="00FE4E1E">
              <w:rPr>
                <w:rFonts w:cs="Arial"/>
                <w:bCs/>
                <w:sz w:val="16"/>
                <w:szCs w:val="16"/>
              </w:rPr>
              <w:fldChar w:fldCharType="separate"/>
            </w:r>
            <w:r w:rsidR="00CC536A">
              <w:rPr>
                <w:rFonts w:cs="Arial"/>
                <w:bCs/>
                <w:noProof/>
                <w:sz w:val="16"/>
                <w:szCs w:val="16"/>
              </w:rPr>
              <w:t>20</w:t>
            </w:r>
            <w:r w:rsidRPr="00FE4E1E">
              <w:rPr>
                <w:rFonts w:cs="Arial"/>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1045020204"/>
      <w:docPartObj>
        <w:docPartGallery w:val="Page Numbers (Bottom of Page)"/>
        <w:docPartUnique/>
      </w:docPartObj>
    </w:sdtPr>
    <w:sdtEndPr/>
    <w:sdtContent>
      <w:sdt>
        <w:sdtPr>
          <w:rPr>
            <w:rFonts w:cs="Arial"/>
            <w:sz w:val="16"/>
            <w:szCs w:val="16"/>
          </w:rPr>
          <w:id w:val="-1769616900"/>
          <w:docPartObj>
            <w:docPartGallery w:val="Page Numbers (Top of Page)"/>
            <w:docPartUnique/>
          </w:docPartObj>
        </w:sdtPr>
        <w:sdtEndPr/>
        <w:sdtContent>
          <w:p w14:paraId="4FFD228D" w14:textId="5A561B5B" w:rsidR="006C5F9C" w:rsidRPr="002231E5" w:rsidRDefault="006C5F9C" w:rsidP="007428FC">
            <w:pPr>
              <w:pStyle w:val="Pieddepage"/>
              <w:jc w:val="left"/>
              <w:rPr>
                <w:rFonts w:cs="Arial"/>
                <w:sz w:val="16"/>
                <w:szCs w:val="16"/>
              </w:rPr>
            </w:pPr>
            <w:r w:rsidRPr="002231E5">
              <w:rPr>
                <w:rFonts w:cs="Arial"/>
                <w:sz w:val="16"/>
                <w:szCs w:val="16"/>
              </w:rPr>
              <w:t xml:space="preserve">Cahier des clauses administratives particulières </w:t>
            </w:r>
          </w:p>
          <w:p w14:paraId="61DEFE4A" w14:textId="5E47B1FB" w:rsidR="006C5F9C" w:rsidRPr="002E16C3" w:rsidRDefault="007428FC" w:rsidP="007428FC">
            <w:pPr>
              <w:pStyle w:val="Pieddepage"/>
              <w:jc w:val="left"/>
              <w:rPr>
                <w:rFonts w:cs="Arial"/>
                <w:sz w:val="16"/>
                <w:szCs w:val="16"/>
              </w:rPr>
            </w:pPr>
            <w:r w:rsidRPr="00D207D7">
              <w:rPr>
                <w:rFonts w:cs="Arial"/>
                <w:b/>
                <w:bCs/>
                <w:sz w:val="13"/>
                <w:szCs w:val="13"/>
              </w:rPr>
              <w:t>Inserm DR ARA</w:t>
            </w:r>
            <w:r>
              <w:rPr>
                <w:rFonts w:cs="Arial"/>
                <w:sz w:val="16"/>
                <w:szCs w:val="16"/>
              </w:rPr>
              <w:t xml:space="preserve"> </w:t>
            </w:r>
            <w:r w:rsidR="00D207D7" w:rsidRPr="00A02743">
              <w:rPr>
                <w:rFonts w:eastAsia="Times New Roman" w:cs="Times New Roman"/>
                <w:b/>
                <w:sz w:val="13"/>
                <w:szCs w:val="13"/>
                <w:lang w:eastAsia="fr-FR"/>
              </w:rPr>
              <w:t>remplacement des systèmes d’intrusion et alarmes techniques de 4 bâtiments et remplacement des alarmes techniques d’1 bâtiment</w:t>
            </w:r>
            <w:r w:rsidR="006C5F9C">
              <w:rPr>
                <w:rFonts w:cs="Arial"/>
                <w:sz w:val="16"/>
                <w:szCs w:val="16"/>
              </w:rPr>
              <w:tab/>
            </w:r>
            <w:r w:rsidR="006C5F9C">
              <w:rPr>
                <w:rFonts w:cs="Arial"/>
                <w:sz w:val="16"/>
                <w:szCs w:val="16"/>
              </w:rPr>
              <w:tab/>
            </w:r>
            <w:r w:rsidR="006C5F9C" w:rsidRPr="00FE4E1E">
              <w:rPr>
                <w:rFonts w:cs="Arial"/>
                <w:sz w:val="16"/>
                <w:szCs w:val="16"/>
              </w:rPr>
              <w:t xml:space="preserve">Page </w:t>
            </w:r>
            <w:r w:rsidR="006C5F9C" w:rsidRPr="00FE4E1E">
              <w:rPr>
                <w:rFonts w:cs="Arial"/>
                <w:bCs/>
                <w:sz w:val="16"/>
                <w:szCs w:val="16"/>
              </w:rPr>
              <w:fldChar w:fldCharType="begin"/>
            </w:r>
            <w:r w:rsidR="006C5F9C" w:rsidRPr="00FE4E1E">
              <w:rPr>
                <w:rFonts w:cs="Arial"/>
                <w:bCs/>
                <w:sz w:val="16"/>
                <w:szCs w:val="16"/>
              </w:rPr>
              <w:instrText>PAGE</w:instrText>
            </w:r>
            <w:r w:rsidR="006C5F9C" w:rsidRPr="00FE4E1E">
              <w:rPr>
                <w:rFonts w:cs="Arial"/>
                <w:bCs/>
                <w:sz w:val="16"/>
                <w:szCs w:val="16"/>
              </w:rPr>
              <w:fldChar w:fldCharType="separate"/>
            </w:r>
            <w:r w:rsidR="000032FA">
              <w:rPr>
                <w:rFonts w:cs="Arial"/>
                <w:bCs/>
                <w:noProof/>
                <w:sz w:val="16"/>
                <w:szCs w:val="16"/>
              </w:rPr>
              <w:t>20</w:t>
            </w:r>
            <w:r w:rsidR="006C5F9C" w:rsidRPr="00FE4E1E">
              <w:rPr>
                <w:rFonts w:cs="Arial"/>
                <w:bCs/>
                <w:sz w:val="16"/>
                <w:szCs w:val="16"/>
              </w:rPr>
              <w:fldChar w:fldCharType="end"/>
            </w:r>
            <w:r w:rsidR="006C5F9C" w:rsidRPr="00FE4E1E">
              <w:rPr>
                <w:rFonts w:cs="Arial"/>
                <w:sz w:val="16"/>
                <w:szCs w:val="16"/>
              </w:rPr>
              <w:t xml:space="preserve"> sur </w:t>
            </w:r>
            <w:r w:rsidR="006C5F9C" w:rsidRPr="00FE4E1E">
              <w:rPr>
                <w:rFonts w:cs="Arial"/>
                <w:bCs/>
                <w:sz w:val="16"/>
                <w:szCs w:val="16"/>
              </w:rPr>
              <w:fldChar w:fldCharType="begin"/>
            </w:r>
            <w:r w:rsidR="006C5F9C" w:rsidRPr="00FE4E1E">
              <w:rPr>
                <w:rFonts w:cs="Arial"/>
                <w:bCs/>
                <w:sz w:val="16"/>
                <w:szCs w:val="16"/>
              </w:rPr>
              <w:instrText>NUMPAGES</w:instrText>
            </w:r>
            <w:r w:rsidR="006C5F9C" w:rsidRPr="00FE4E1E">
              <w:rPr>
                <w:rFonts w:cs="Arial"/>
                <w:bCs/>
                <w:sz w:val="16"/>
                <w:szCs w:val="16"/>
              </w:rPr>
              <w:fldChar w:fldCharType="separate"/>
            </w:r>
            <w:r w:rsidR="000032FA">
              <w:rPr>
                <w:rFonts w:cs="Arial"/>
                <w:bCs/>
                <w:noProof/>
                <w:sz w:val="16"/>
                <w:szCs w:val="16"/>
              </w:rPr>
              <w:t>20</w:t>
            </w:r>
            <w:r w:rsidR="006C5F9C" w:rsidRPr="00FE4E1E">
              <w:rPr>
                <w:rFonts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D6B58" w14:textId="77777777" w:rsidR="00D63AA0" w:rsidRDefault="00D63AA0" w:rsidP="009C574E">
      <w:pPr>
        <w:spacing w:after="0" w:line="240" w:lineRule="auto"/>
      </w:pPr>
      <w:r>
        <w:separator/>
      </w:r>
    </w:p>
    <w:p w14:paraId="6B4BE549" w14:textId="77777777" w:rsidR="00D63AA0" w:rsidRDefault="00D63AA0"/>
  </w:footnote>
  <w:footnote w:type="continuationSeparator" w:id="0">
    <w:p w14:paraId="1DD2B99E" w14:textId="77777777" w:rsidR="00D63AA0" w:rsidRDefault="00D63AA0" w:rsidP="009C574E">
      <w:pPr>
        <w:spacing w:after="0" w:line="240" w:lineRule="auto"/>
      </w:pPr>
      <w:r>
        <w:continuationSeparator/>
      </w:r>
    </w:p>
    <w:p w14:paraId="3827A5FC" w14:textId="77777777" w:rsidR="00D63AA0" w:rsidRDefault="00D63AA0"/>
  </w:footnote>
  <w:footnote w:id="1">
    <w:p w14:paraId="73F942F8" w14:textId="744D15A5" w:rsidR="000E7995" w:rsidRPr="000E7995" w:rsidRDefault="000E7995" w:rsidP="000E7995">
      <w:pPr>
        <w:spacing w:after="120"/>
        <w:rPr>
          <w:i/>
          <w:iCs/>
        </w:rPr>
      </w:pPr>
      <w:r>
        <w:rPr>
          <w:rStyle w:val="Appelnotedebasdep"/>
        </w:rPr>
        <w:footnoteRef/>
      </w:r>
      <w:r>
        <w:t xml:space="preserve"> </w:t>
      </w:r>
      <w:r w:rsidRPr="000E7995">
        <w:rPr>
          <w:i/>
          <w:iCs/>
          <w:sz w:val="18"/>
          <w:szCs w:val="18"/>
        </w:rPr>
        <w:t>Ces pièces générales, bien que non jointes au présent marché, sont réputées connues des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775F" w14:textId="672DC694" w:rsidR="00D207D7" w:rsidRDefault="00D207D7">
    <w:pPr>
      <w:pStyle w:val="En-tte"/>
    </w:pPr>
    <w:r>
      <w:rPr>
        <w:noProof/>
      </w:rPr>
      <w:drawing>
        <wp:inline distT="0" distB="0" distL="0" distR="0" wp14:anchorId="48DE7D1C" wp14:editId="424FD8BB">
          <wp:extent cx="5448935" cy="1003546"/>
          <wp:effectExtent l="0" t="0" r="0" b="6350"/>
          <wp:docPr id="13060821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0318" cy="1005643"/>
                  </a:xfrm>
                  <a:prstGeom prst="rect">
                    <a:avLst/>
                  </a:prstGeom>
                  <a:noFill/>
                </pic:spPr>
              </pic:pic>
            </a:graphicData>
          </a:graphic>
        </wp:inline>
      </w:drawing>
    </w:r>
  </w:p>
  <w:p w14:paraId="337A2D4B" w14:textId="2460E460" w:rsidR="00D207D7" w:rsidRPr="00D207D7" w:rsidRDefault="00D207D7">
    <w:pPr>
      <w:pStyle w:val="En-tte"/>
      <w:rPr>
        <w:b/>
        <w:bCs/>
      </w:rPr>
    </w:pPr>
    <w:r w:rsidRPr="00D207D7">
      <w:rPr>
        <w:b/>
        <w:bCs/>
      </w:rPr>
      <w:t xml:space="preserve">Délégation Régionale Auvergne, Rhône-Alpes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68A"/>
    <w:multiLevelType w:val="hybridMultilevel"/>
    <w:tmpl w:val="FFFFFFFF"/>
    <w:lvl w:ilvl="0" w:tplc="FFFFFFFF">
      <w:start w:val="1"/>
      <w:numFmt w:val="bullet"/>
      <w:lvlText w:val=""/>
      <w:lvlJc w:val="left"/>
      <w:pPr>
        <w:ind w:left="720" w:hanging="360"/>
      </w:pPr>
      <w:rPr>
        <w:rFonts w:ascii="Symbol" w:hAnsi="Symbol" w:hint="default"/>
      </w:rPr>
    </w:lvl>
    <w:lvl w:ilvl="1" w:tplc="B612844E">
      <w:start w:val="1"/>
      <w:numFmt w:val="bullet"/>
      <w:lvlText w:val="o"/>
      <w:lvlJc w:val="left"/>
      <w:pPr>
        <w:ind w:left="1440" w:hanging="360"/>
      </w:pPr>
      <w:rPr>
        <w:rFonts w:ascii="Courier New" w:hAnsi="Courier New" w:hint="default"/>
      </w:rPr>
    </w:lvl>
    <w:lvl w:ilvl="2" w:tplc="052CBD24">
      <w:start w:val="1"/>
      <w:numFmt w:val="bullet"/>
      <w:lvlText w:val=""/>
      <w:lvlJc w:val="left"/>
      <w:pPr>
        <w:ind w:left="2160" w:hanging="360"/>
      </w:pPr>
      <w:rPr>
        <w:rFonts w:ascii="Wingdings" w:hAnsi="Wingdings" w:hint="default"/>
      </w:rPr>
    </w:lvl>
    <w:lvl w:ilvl="3" w:tplc="A37C3714">
      <w:start w:val="1"/>
      <w:numFmt w:val="bullet"/>
      <w:lvlText w:val=""/>
      <w:lvlJc w:val="left"/>
      <w:pPr>
        <w:ind w:left="2880" w:hanging="360"/>
      </w:pPr>
      <w:rPr>
        <w:rFonts w:ascii="Symbol" w:hAnsi="Symbol" w:hint="default"/>
      </w:rPr>
    </w:lvl>
    <w:lvl w:ilvl="4" w:tplc="4AD8BB88">
      <w:start w:val="1"/>
      <w:numFmt w:val="bullet"/>
      <w:lvlText w:val="o"/>
      <w:lvlJc w:val="left"/>
      <w:pPr>
        <w:ind w:left="3600" w:hanging="360"/>
      </w:pPr>
      <w:rPr>
        <w:rFonts w:ascii="Courier New" w:hAnsi="Courier New" w:hint="default"/>
      </w:rPr>
    </w:lvl>
    <w:lvl w:ilvl="5" w:tplc="C2FCCB3A">
      <w:start w:val="1"/>
      <w:numFmt w:val="bullet"/>
      <w:lvlText w:val=""/>
      <w:lvlJc w:val="left"/>
      <w:pPr>
        <w:ind w:left="4320" w:hanging="360"/>
      </w:pPr>
      <w:rPr>
        <w:rFonts w:ascii="Wingdings" w:hAnsi="Wingdings" w:hint="default"/>
      </w:rPr>
    </w:lvl>
    <w:lvl w:ilvl="6" w:tplc="1FFEAD0A">
      <w:start w:val="1"/>
      <w:numFmt w:val="bullet"/>
      <w:lvlText w:val=""/>
      <w:lvlJc w:val="left"/>
      <w:pPr>
        <w:ind w:left="5040" w:hanging="360"/>
      </w:pPr>
      <w:rPr>
        <w:rFonts w:ascii="Symbol" w:hAnsi="Symbol" w:hint="default"/>
      </w:rPr>
    </w:lvl>
    <w:lvl w:ilvl="7" w:tplc="DAB86CDA">
      <w:start w:val="1"/>
      <w:numFmt w:val="bullet"/>
      <w:lvlText w:val="o"/>
      <w:lvlJc w:val="left"/>
      <w:pPr>
        <w:ind w:left="5760" w:hanging="360"/>
      </w:pPr>
      <w:rPr>
        <w:rFonts w:ascii="Courier New" w:hAnsi="Courier New" w:hint="default"/>
      </w:rPr>
    </w:lvl>
    <w:lvl w:ilvl="8" w:tplc="8850D066">
      <w:start w:val="1"/>
      <w:numFmt w:val="bullet"/>
      <w:lvlText w:val=""/>
      <w:lvlJc w:val="left"/>
      <w:pPr>
        <w:ind w:left="6480" w:hanging="360"/>
      </w:pPr>
      <w:rPr>
        <w:rFonts w:ascii="Wingdings" w:hAnsi="Wingdings" w:hint="default"/>
      </w:rPr>
    </w:lvl>
  </w:abstractNum>
  <w:abstractNum w:abstractNumId="1" w15:restartNumberingAfterBreak="0">
    <w:nsid w:val="077241CD"/>
    <w:multiLevelType w:val="hybridMultilevel"/>
    <w:tmpl w:val="947A92A2"/>
    <w:lvl w:ilvl="0" w:tplc="946802C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F1A80"/>
    <w:multiLevelType w:val="hybridMultilevel"/>
    <w:tmpl w:val="FFFFFFFF"/>
    <w:lvl w:ilvl="0" w:tplc="DADA6734">
      <w:start w:val="1"/>
      <w:numFmt w:val="bullet"/>
      <w:lvlText w:val=""/>
      <w:lvlJc w:val="left"/>
      <w:pPr>
        <w:ind w:left="720" w:hanging="360"/>
      </w:pPr>
      <w:rPr>
        <w:rFonts w:ascii="Symbol" w:hAnsi="Symbol" w:hint="default"/>
      </w:rPr>
    </w:lvl>
    <w:lvl w:ilvl="1" w:tplc="91F00F9E">
      <w:start w:val="1"/>
      <w:numFmt w:val="bullet"/>
      <w:lvlText w:val="o"/>
      <w:lvlJc w:val="left"/>
      <w:pPr>
        <w:ind w:left="1440" w:hanging="360"/>
      </w:pPr>
      <w:rPr>
        <w:rFonts w:ascii="Courier New" w:hAnsi="Courier New" w:hint="default"/>
      </w:rPr>
    </w:lvl>
    <w:lvl w:ilvl="2" w:tplc="69FA2A94">
      <w:start w:val="1"/>
      <w:numFmt w:val="bullet"/>
      <w:lvlText w:val=""/>
      <w:lvlJc w:val="left"/>
      <w:pPr>
        <w:ind w:left="2160" w:hanging="360"/>
      </w:pPr>
      <w:rPr>
        <w:rFonts w:ascii="Wingdings" w:hAnsi="Wingdings" w:hint="default"/>
      </w:rPr>
    </w:lvl>
    <w:lvl w:ilvl="3" w:tplc="C950B290">
      <w:start w:val="1"/>
      <w:numFmt w:val="bullet"/>
      <w:lvlText w:val=""/>
      <w:lvlJc w:val="left"/>
      <w:pPr>
        <w:ind w:left="2880" w:hanging="360"/>
      </w:pPr>
      <w:rPr>
        <w:rFonts w:ascii="Symbol" w:hAnsi="Symbol" w:hint="default"/>
      </w:rPr>
    </w:lvl>
    <w:lvl w:ilvl="4" w:tplc="E8EAD7DE">
      <w:start w:val="1"/>
      <w:numFmt w:val="bullet"/>
      <w:lvlText w:val="o"/>
      <w:lvlJc w:val="left"/>
      <w:pPr>
        <w:ind w:left="3600" w:hanging="360"/>
      </w:pPr>
      <w:rPr>
        <w:rFonts w:ascii="Courier New" w:hAnsi="Courier New" w:hint="default"/>
      </w:rPr>
    </w:lvl>
    <w:lvl w:ilvl="5" w:tplc="F092A710">
      <w:start w:val="1"/>
      <w:numFmt w:val="bullet"/>
      <w:lvlText w:val=""/>
      <w:lvlJc w:val="left"/>
      <w:pPr>
        <w:ind w:left="4320" w:hanging="360"/>
      </w:pPr>
      <w:rPr>
        <w:rFonts w:ascii="Wingdings" w:hAnsi="Wingdings" w:hint="default"/>
      </w:rPr>
    </w:lvl>
    <w:lvl w:ilvl="6" w:tplc="8132E066">
      <w:start w:val="1"/>
      <w:numFmt w:val="bullet"/>
      <w:lvlText w:val=""/>
      <w:lvlJc w:val="left"/>
      <w:pPr>
        <w:ind w:left="5040" w:hanging="360"/>
      </w:pPr>
      <w:rPr>
        <w:rFonts w:ascii="Symbol" w:hAnsi="Symbol" w:hint="default"/>
      </w:rPr>
    </w:lvl>
    <w:lvl w:ilvl="7" w:tplc="24C89474">
      <w:start w:val="1"/>
      <w:numFmt w:val="bullet"/>
      <w:lvlText w:val="o"/>
      <w:lvlJc w:val="left"/>
      <w:pPr>
        <w:ind w:left="5760" w:hanging="360"/>
      </w:pPr>
      <w:rPr>
        <w:rFonts w:ascii="Courier New" w:hAnsi="Courier New" w:hint="default"/>
      </w:rPr>
    </w:lvl>
    <w:lvl w:ilvl="8" w:tplc="CBDC6936">
      <w:start w:val="1"/>
      <w:numFmt w:val="bullet"/>
      <w:lvlText w:val=""/>
      <w:lvlJc w:val="left"/>
      <w:pPr>
        <w:ind w:left="6480" w:hanging="360"/>
      </w:pPr>
      <w:rPr>
        <w:rFonts w:ascii="Wingdings" w:hAnsi="Wingdings" w:hint="default"/>
      </w:rPr>
    </w:lvl>
  </w:abstractNum>
  <w:abstractNum w:abstractNumId="3" w15:restartNumberingAfterBreak="0">
    <w:nsid w:val="0EEB7F59"/>
    <w:multiLevelType w:val="hybridMultilevel"/>
    <w:tmpl w:val="BE7E5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776260"/>
    <w:multiLevelType w:val="hybridMultilevel"/>
    <w:tmpl w:val="8AB48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8075B7"/>
    <w:multiLevelType w:val="hybridMultilevel"/>
    <w:tmpl w:val="A20AC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89698D"/>
    <w:multiLevelType w:val="hybridMultilevel"/>
    <w:tmpl w:val="3C641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E34DCA"/>
    <w:multiLevelType w:val="hybridMultilevel"/>
    <w:tmpl w:val="F9863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480C55"/>
    <w:multiLevelType w:val="hybridMultilevel"/>
    <w:tmpl w:val="FFFFFFFF"/>
    <w:lvl w:ilvl="0" w:tplc="BAA04072">
      <w:start w:val="1"/>
      <w:numFmt w:val="bullet"/>
      <w:lvlText w:val=""/>
      <w:lvlJc w:val="left"/>
      <w:pPr>
        <w:ind w:left="720" w:hanging="360"/>
      </w:pPr>
      <w:rPr>
        <w:rFonts w:ascii="Symbol" w:hAnsi="Symbol" w:hint="default"/>
      </w:rPr>
    </w:lvl>
    <w:lvl w:ilvl="1" w:tplc="A4C23BAE">
      <w:start w:val="1"/>
      <w:numFmt w:val="bullet"/>
      <w:lvlText w:val="o"/>
      <w:lvlJc w:val="left"/>
      <w:pPr>
        <w:ind w:left="1440" w:hanging="360"/>
      </w:pPr>
      <w:rPr>
        <w:rFonts w:ascii="Courier New" w:hAnsi="Courier New" w:hint="default"/>
      </w:rPr>
    </w:lvl>
    <w:lvl w:ilvl="2" w:tplc="CDFCF5C6">
      <w:start w:val="1"/>
      <w:numFmt w:val="bullet"/>
      <w:lvlText w:val=""/>
      <w:lvlJc w:val="left"/>
      <w:pPr>
        <w:ind w:left="2160" w:hanging="360"/>
      </w:pPr>
      <w:rPr>
        <w:rFonts w:ascii="Wingdings" w:hAnsi="Wingdings" w:hint="default"/>
      </w:rPr>
    </w:lvl>
    <w:lvl w:ilvl="3" w:tplc="2FE83F7C">
      <w:start w:val="1"/>
      <w:numFmt w:val="bullet"/>
      <w:lvlText w:val=""/>
      <w:lvlJc w:val="left"/>
      <w:pPr>
        <w:ind w:left="2880" w:hanging="360"/>
      </w:pPr>
      <w:rPr>
        <w:rFonts w:ascii="Symbol" w:hAnsi="Symbol" w:hint="default"/>
      </w:rPr>
    </w:lvl>
    <w:lvl w:ilvl="4" w:tplc="E33E4CD0">
      <w:start w:val="1"/>
      <w:numFmt w:val="bullet"/>
      <w:lvlText w:val="o"/>
      <w:lvlJc w:val="left"/>
      <w:pPr>
        <w:ind w:left="3600" w:hanging="360"/>
      </w:pPr>
      <w:rPr>
        <w:rFonts w:ascii="Courier New" w:hAnsi="Courier New" w:hint="default"/>
      </w:rPr>
    </w:lvl>
    <w:lvl w:ilvl="5" w:tplc="471A300E">
      <w:start w:val="1"/>
      <w:numFmt w:val="bullet"/>
      <w:lvlText w:val=""/>
      <w:lvlJc w:val="left"/>
      <w:pPr>
        <w:ind w:left="4320" w:hanging="360"/>
      </w:pPr>
      <w:rPr>
        <w:rFonts w:ascii="Wingdings" w:hAnsi="Wingdings" w:hint="default"/>
      </w:rPr>
    </w:lvl>
    <w:lvl w:ilvl="6" w:tplc="DA48A470">
      <w:start w:val="1"/>
      <w:numFmt w:val="bullet"/>
      <w:lvlText w:val=""/>
      <w:lvlJc w:val="left"/>
      <w:pPr>
        <w:ind w:left="5040" w:hanging="360"/>
      </w:pPr>
      <w:rPr>
        <w:rFonts w:ascii="Symbol" w:hAnsi="Symbol" w:hint="default"/>
      </w:rPr>
    </w:lvl>
    <w:lvl w:ilvl="7" w:tplc="CF962C6A">
      <w:start w:val="1"/>
      <w:numFmt w:val="bullet"/>
      <w:lvlText w:val="o"/>
      <w:lvlJc w:val="left"/>
      <w:pPr>
        <w:ind w:left="5760" w:hanging="360"/>
      </w:pPr>
      <w:rPr>
        <w:rFonts w:ascii="Courier New" w:hAnsi="Courier New" w:hint="default"/>
      </w:rPr>
    </w:lvl>
    <w:lvl w:ilvl="8" w:tplc="2A06981A">
      <w:start w:val="1"/>
      <w:numFmt w:val="bullet"/>
      <w:lvlText w:val=""/>
      <w:lvlJc w:val="left"/>
      <w:pPr>
        <w:ind w:left="6480" w:hanging="360"/>
      </w:pPr>
      <w:rPr>
        <w:rFonts w:ascii="Wingdings" w:hAnsi="Wingdings" w:hint="default"/>
      </w:rPr>
    </w:lvl>
  </w:abstractNum>
  <w:abstractNum w:abstractNumId="9" w15:restartNumberingAfterBreak="0">
    <w:nsid w:val="334C1555"/>
    <w:multiLevelType w:val="hybridMultilevel"/>
    <w:tmpl w:val="CEB8F8A4"/>
    <w:lvl w:ilvl="0" w:tplc="42A890A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C7398"/>
    <w:multiLevelType w:val="hybridMultilevel"/>
    <w:tmpl w:val="CABAC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B40747"/>
    <w:multiLevelType w:val="hybridMultilevel"/>
    <w:tmpl w:val="9AA66EAA"/>
    <w:lvl w:ilvl="0" w:tplc="946802C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FE5C0B"/>
    <w:multiLevelType w:val="hybridMultilevel"/>
    <w:tmpl w:val="C7047C5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3A9C3754"/>
    <w:multiLevelType w:val="hybridMultilevel"/>
    <w:tmpl w:val="FFFFFFFF"/>
    <w:lvl w:ilvl="0" w:tplc="584818E6">
      <w:start w:val="1"/>
      <w:numFmt w:val="bullet"/>
      <w:lvlText w:val=""/>
      <w:lvlJc w:val="left"/>
      <w:pPr>
        <w:ind w:left="720" w:hanging="360"/>
      </w:pPr>
      <w:rPr>
        <w:rFonts w:ascii="Symbol" w:hAnsi="Symbol" w:hint="default"/>
      </w:rPr>
    </w:lvl>
    <w:lvl w:ilvl="1" w:tplc="8B8AD0B6">
      <w:start w:val="1"/>
      <w:numFmt w:val="bullet"/>
      <w:lvlText w:val="o"/>
      <w:lvlJc w:val="left"/>
      <w:pPr>
        <w:ind w:left="1440" w:hanging="360"/>
      </w:pPr>
      <w:rPr>
        <w:rFonts w:ascii="Courier New" w:hAnsi="Courier New" w:hint="default"/>
      </w:rPr>
    </w:lvl>
    <w:lvl w:ilvl="2" w:tplc="9636061E">
      <w:start w:val="1"/>
      <w:numFmt w:val="bullet"/>
      <w:lvlText w:val=""/>
      <w:lvlJc w:val="left"/>
      <w:pPr>
        <w:ind w:left="2160" w:hanging="360"/>
      </w:pPr>
      <w:rPr>
        <w:rFonts w:ascii="Wingdings" w:hAnsi="Wingdings" w:hint="default"/>
      </w:rPr>
    </w:lvl>
    <w:lvl w:ilvl="3" w:tplc="1FE62E40">
      <w:start w:val="1"/>
      <w:numFmt w:val="bullet"/>
      <w:lvlText w:val=""/>
      <w:lvlJc w:val="left"/>
      <w:pPr>
        <w:ind w:left="2880" w:hanging="360"/>
      </w:pPr>
      <w:rPr>
        <w:rFonts w:ascii="Symbol" w:hAnsi="Symbol" w:hint="default"/>
      </w:rPr>
    </w:lvl>
    <w:lvl w:ilvl="4" w:tplc="B0E6EEAA">
      <w:start w:val="1"/>
      <w:numFmt w:val="bullet"/>
      <w:lvlText w:val="o"/>
      <w:lvlJc w:val="left"/>
      <w:pPr>
        <w:ind w:left="3600" w:hanging="360"/>
      </w:pPr>
      <w:rPr>
        <w:rFonts w:ascii="Courier New" w:hAnsi="Courier New" w:hint="default"/>
      </w:rPr>
    </w:lvl>
    <w:lvl w:ilvl="5" w:tplc="7B3AD724">
      <w:start w:val="1"/>
      <w:numFmt w:val="bullet"/>
      <w:lvlText w:val=""/>
      <w:lvlJc w:val="left"/>
      <w:pPr>
        <w:ind w:left="4320" w:hanging="360"/>
      </w:pPr>
      <w:rPr>
        <w:rFonts w:ascii="Wingdings" w:hAnsi="Wingdings" w:hint="default"/>
      </w:rPr>
    </w:lvl>
    <w:lvl w:ilvl="6" w:tplc="42448DA4">
      <w:start w:val="1"/>
      <w:numFmt w:val="bullet"/>
      <w:lvlText w:val=""/>
      <w:lvlJc w:val="left"/>
      <w:pPr>
        <w:ind w:left="5040" w:hanging="360"/>
      </w:pPr>
      <w:rPr>
        <w:rFonts w:ascii="Symbol" w:hAnsi="Symbol" w:hint="default"/>
      </w:rPr>
    </w:lvl>
    <w:lvl w:ilvl="7" w:tplc="4852D2C6">
      <w:start w:val="1"/>
      <w:numFmt w:val="bullet"/>
      <w:lvlText w:val="o"/>
      <w:lvlJc w:val="left"/>
      <w:pPr>
        <w:ind w:left="5760" w:hanging="360"/>
      </w:pPr>
      <w:rPr>
        <w:rFonts w:ascii="Courier New" w:hAnsi="Courier New" w:hint="default"/>
      </w:rPr>
    </w:lvl>
    <w:lvl w:ilvl="8" w:tplc="B25877DE">
      <w:start w:val="1"/>
      <w:numFmt w:val="bullet"/>
      <w:lvlText w:val=""/>
      <w:lvlJc w:val="left"/>
      <w:pPr>
        <w:ind w:left="6480" w:hanging="360"/>
      </w:pPr>
      <w:rPr>
        <w:rFonts w:ascii="Wingdings" w:hAnsi="Wingdings" w:hint="default"/>
      </w:rPr>
    </w:lvl>
  </w:abstractNum>
  <w:abstractNum w:abstractNumId="14" w15:restartNumberingAfterBreak="0">
    <w:nsid w:val="3AEA6677"/>
    <w:multiLevelType w:val="multilevel"/>
    <w:tmpl w:val="EF4AAD1E"/>
    <w:lvl w:ilvl="0">
      <w:start w:val="1"/>
      <w:numFmt w:val="decimal"/>
      <w:pStyle w:val="Titre1"/>
      <w:suff w:val="space"/>
      <w:lvlText w:val="Article %1 :"/>
      <w:lvlJc w:val="left"/>
      <w:pPr>
        <w:ind w:left="360" w:hanging="360"/>
      </w:pPr>
      <w:rPr>
        <w:rFonts w:ascii="Arial" w:hAnsi="Arial" w:hint="default"/>
        <w:b/>
        <w:i w:val="0"/>
        <w:caps w:val="0"/>
        <w:strike w:val="0"/>
        <w:dstrike w:val="0"/>
        <w:vanish w:val="0"/>
        <w:color w:val="auto"/>
        <w:spacing w:val="0"/>
        <w:w w:val="100"/>
        <w:kern w:val="0"/>
        <w:position w:val="0"/>
        <w:sz w:val="22"/>
        <w:u w:val="none"/>
        <w:vertAlign w:val="baseline"/>
        <w14:cntxtAlts w14:val="0"/>
      </w:rPr>
    </w:lvl>
    <w:lvl w:ilvl="1">
      <w:start w:val="1"/>
      <w:numFmt w:val="decimal"/>
      <w:pStyle w:val="Titre2"/>
      <w:suff w:val="space"/>
      <w:lvlText w:val="%1.%2"/>
      <w:lvlJc w:val="left"/>
      <w:pPr>
        <w:ind w:left="709" w:firstLine="42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985" w:hanging="1134"/>
      </w:p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3B9E4E00"/>
    <w:multiLevelType w:val="hybridMultilevel"/>
    <w:tmpl w:val="FFFFFFFF"/>
    <w:lvl w:ilvl="0" w:tplc="540A738E">
      <w:start w:val="1"/>
      <w:numFmt w:val="decimal"/>
      <w:lvlText w:val="%1.."/>
      <w:lvlJc w:val="left"/>
      <w:pPr>
        <w:ind w:left="720" w:hanging="360"/>
      </w:pPr>
    </w:lvl>
    <w:lvl w:ilvl="1" w:tplc="AFD02D2E">
      <w:start w:val="1"/>
      <w:numFmt w:val="lowerLetter"/>
      <w:lvlText w:val="%2."/>
      <w:lvlJc w:val="left"/>
      <w:pPr>
        <w:ind w:left="1440" w:hanging="360"/>
      </w:pPr>
    </w:lvl>
    <w:lvl w:ilvl="2" w:tplc="86829656">
      <w:start w:val="1"/>
      <w:numFmt w:val="lowerRoman"/>
      <w:lvlText w:val="%3."/>
      <w:lvlJc w:val="right"/>
      <w:pPr>
        <w:ind w:left="2160" w:hanging="180"/>
      </w:pPr>
    </w:lvl>
    <w:lvl w:ilvl="3" w:tplc="0FAED328">
      <w:start w:val="1"/>
      <w:numFmt w:val="decimal"/>
      <w:lvlText w:val="%4."/>
      <w:lvlJc w:val="left"/>
      <w:pPr>
        <w:ind w:left="2880" w:hanging="360"/>
      </w:pPr>
    </w:lvl>
    <w:lvl w:ilvl="4" w:tplc="1C50703C">
      <w:start w:val="1"/>
      <w:numFmt w:val="lowerLetter"/>
      <w:lvlText w:val="%5."/>
      <w:lvlJc w:val="left"/>
      <w:pPr>
        <w:ind w:left="3600" w:hanging="360"/>
      </w:pPr>
    </w:lvl>
    <w:lvl w:ilvl="5" w:tplc="1AA471E2">
      <w:start w:val="1"/>
      <w:numFmt w:val="lowerRoman"/>
      <w:lvlText w:val="%6."/>
      <w:lvlJc w:val="right"/>
      <w:pPr>
        <w:ind w:left="4320" w:hanging="180"/>
      </w:pPr>
    </w:lvl>
    <w:lvl w:ilvl="6" w:tplc="7526C0A8">
      <w:start w:val="1"/>
      <w:numFmt w:val="decimal"/>
      <w:lvlText w:val="%7."/>
      <w:lvlJc w:val="left"/>
      <w:pPr>
        <w:ind w:left="5040" w:hanging="360"/>
      </w:pPr>
    </w:lvl>
    <w:lvl w:ilvl="7" w:tplc="8854879E">
      <w:start w:val="1"/>
      <w:numFmt w:val="lowerLetter"/>
      <w:lvlText w:val="%8."/>
      <w:lvlJc w:val="left"/>
      <w:pPr>
        <w:ind w:left="5760" w:hanging="360"/>
      </w:pPr>
    </w:lvl>
    <w:lvl w:ilvl="8" w:tplc="48E6FA7A">
      <w:start w:val="1"/>
      <w:numFmt w:val="lowerRoman"/>
      <w:lvlText w:val="%9."/>
      <w:lvlJc w:val="right"/>
      <w:pPr>
        <w:ind w:left="6480" w:hanging="180"/>
      </w:pPr>
    </w:lvl>
  </w:abstractNum>
  <w:abstractNum w:abstractNumId="16" w15:restartNumberingAfterBreak="0">
    <w:nsid w:val="3D5E7FE7"/>
    <w:multiLevelType w:val="hybridMultilevel"/>
    <w:tmpl w:val="73EE0954"/>
    <w:lvl w:ilvl="0" w:tplc="630C250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0748A"/>
    <w:multiLevelType w:val="hybridMultilevel"/>
    <w:tmpl w:val="5F2216C8"/>
    <w:lvl w:ilvl="0" w:tplc="5BE4C204">
      <w:start w:val="1"/>
      <w:numFmt w:val="bullet"/>
      <w:lvlText w:val=""/>
      <w:lvlJc w:val="left"/>
      <w:pPr>
        <w:ind w:left="720" w:hanging="360"/>
      </w:pPr>
      <w:rPr>
        <w:rFonts w:ascii="Symbol" w:hAnsi="Symbol" w:hint="default"/>
      </w:rPr>
    </w:lvl>
    <w:lvl w:ilvl="1" w:tplc="B9AC6F90">
      <w:start w:val="1"/>
      <w:numFmt w:val="bullet"/>
      <w:lvlText w:val="o"/>
      <w:lvlJc w:val="left"/>
      <w:pPr>
        <w:ind w:left="1440" w:hanging="360"/>
      </w:pPr>
      <w:rPr>
        <w:rFonts w:ascii="Courier New" w:hAnsi="Courier New" w:hint="default"/>
      </w:rPr>
    </w:lvl>
    <w:lvl w:ilvl="2" w:tplc="5D74C8E8">
      <w:start w:val="1"/>
      <w:numFmt w:val="bullet"/>
      <w:lvlText w:val=""/>
      <w:lvlJc w:val="left"/>
      <w:pPr>
        <w:ind w:left="2160" w:hanging="360"/>
      </w:pPr>
      <w:rPr>
        <w:rFonts w:ascii="Wingdings" w:hAnsi="Wingdings" w:hint="default"/>
      </w:rPr>
    </w:lvl>
    <w:lvl w:ilvl="3" w:tplc="0F7E986A">
      <w:start w:val="1"/>
      <w:numFmt w:val="bullet"/>
      <w:lvlText w:val=""/>
      <w:lvlJc w:val="left"/>
      <w:pPr>
        <w:ind w:left="2880" w:hanging="360"/>
      </w:pPr>
      <w:rPr>
        <w:rFonts w:ascii="Symbol" w:hAnsi="Symbol" w:hint="default"/>
      </w:rPr>
    </w:lvl>
    <w:lvl w:ilvl="4" w:tplc="9828AE1A">
      <w:start w:val="1"/>
      <w:numFmt w:val="bullet"/>
      <w:lvlText w:val="o"/>
      <w:lvlJc w:val="left"/>
      <w:pPr>
        <w:ind w:left="3600" w:hanging="360"/>
      </w:pPr>
      <w:rPr>
        <w:rFonts w:ascii="Courier New" w:hAnsi="Courier New" w:hint="default"/>
      </w:rPr>
    </w:lvl>
    <w:lvl w:ilvl="5" w:tplc="A5EC016C">
      <w:start w:val="1"/>
      <w:numFmt w:val="bullet"/>
      <w:lvlText w:val=""/>
      <w:lvlJc w:val="left"/>
      <w:pPr>
        <w:ind w:left="4320" w:hanging="360"/>
      </w:pPr>
      <w:rPr>
        <w:rFonts w:ascii="Wingdings" w:hAnsi="Wingdings" w:hint="default"/>
      </w:rPr>
    </w:lvl>
    <w:lvl w:ilvl="6" w:tplc="E3C45262">
      <w:start w:val="1"/>
      <w:numFmt w:val="bullet"/>
      <w:lvlText w:val=""/>
      <w:lvlJc w:val="left"/>
      <w:pPr>
        <w:ind w:left="5040" w:hanging="360"/>
      </w:pPr>
      <w:rPr>
        <w:rFonts w:ascii="Symbol" w:hAnsi="Symbol" w:hint="default"/>
      </w:rPr>
    </w:lvl>
    <w:lvl w:ilvl="7" w:tplc="DFD47C82">
      <w:start w:val="1"/>
      <w:numFmt w:val="bullet"/>
      <w:lvlText w:val="o"/>
      <w:lvlJc w:val="left"/>
      <w:pPr>
        <w:ind w:left="5760" w:hanging="360"/>
      </w:pPr>
      <w:rPr>
        <w:rFonts w:ascii="Courier New" w:hAnsi="Courier New" w:hint="default"/>
      </w:rPr>
    </w:lvl>
    <w:lvl w:ilvl="8" w:tplc="14AA238A">
      <w:start w:val="1"/>
      <w:numFmt w:val="bullet"/>
      <w:lvlText w:val=""/>
      <w:lvlJc w:val="left"/>
      <w:pPr>
        <w:ind w:left="6480" w:hanging="360"/>
      </w:pPr>
      <w:rPr>
        <w:rFonts w:ascii="Wingdings" w:hAnsi="Wingdings" w:hint="default"/>
      </w:rPr>
    </w:lvl>
  </w:abstractNum>
  <w:abstractNum w:abstractNumId="18" w15:restartNumberingAfterBreak="0">
    <w:nsid w:val="42753B84"/>
    <w:multiLevelType w:val="hybridMultilevel"/>
    <w:tmpl w:val="6576B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112379"/>
    <w:multiLevelType w:val="hybridMultilevel"/>
    <w:tmpl w:val="2DAC9C62"/>
    <w:lvl w:ilvl="0" w:tplc="946802C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567FFB"/>
    <w:multiLevelType w:val="hybridMultilevel"/>
    <w:tmpl w:val="C7327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4F1B72"/>
    <w:multiLevelType w:val="multilevel"/>
    <w:tmpl w:val="BA6C324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5504358C"/>
    <w:multiLevelType w:val="hybridMultilevel"/>
    <w:tmpl w:val="105CE70A"/>
    <w:lvl w:ilvl="0" w:tplc="194025F0">
      <w:start w:val="27"/>
      <w:numFmt w:val="bullet"/>
      <w:lvlText w:val="-"/>
      <w:lvlJc w:val="left"/>
      <w:pPr>
        <w:ind w:left="720" w:hanging="360"/>
      </w:pPr>
      <w:rPr>
        <w:rFonts w:ascii="Calibri" w:eastAsia="Times New Roman"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CB1128"/>
    <w:multiLevelType w:val="hybridMultilevel"/>
    <w:tmpl w:val="FFFFFFFF"/>
    <w:lvl w:ilvl="0" w:tplc="D2800B34">
      <w:start w:val="1"/>
      <w:numFmt w:val="bullet"/>
      <w:lvlText w:val="·"/>
      <w:lvlJc w:val="left"/>
      <w:pPr>
        <w:ind w:left="720" w:hanging="360"/>
      </w:pPr>
      <w:rPr>
        <w:rFonts w:ascii="Symbol" w:hAnsi="Symbol" w:hint="default"/>
      </w:rPr>
    </w:lvl>
    <w:lvl w:ilvl="1" w:tplc="0F0CC622">
      <w:start w:val="1"/>
      <w:numFmt w:val="bullet"/>
      <w:lvlText w:val="o"/>
      <w:lvlJc w:val="left"/>
      <w:pPr>
        <w:ind w:left="1440" w:hanging="360"/>
      </w:pPr>
      <w:rPr>
        <w:rFonts w:ascii="Courier New" w:hAnsi="Courier New" w:hint="default"/>
      </w:rPr>
    </w:lvl>
    <w:lvl w:ilvl="2" w:tplc="AA2857DC">
      <w:start w:val="1"/>
      <w:numFmt w:val="bullet"/>
      <w:lvlText w:val=""/>
      <w:lvlJc w:val="left"/>
      <w:pPr>
        <w:ind w:left="2160" w:hanging="360"/>
      </w:pPr>
      <w:rPr>
        <w:rFonts w:ascii="Wingdings" w:hAnsi="Wingdings" w:hint="default"/>
      </w:rPr>
    </w:lvl>
    <w:lvl w:ilvl="3" w:tplc="E5BE4FC0">
      <w:start w:val="1"/>
      <w:numFmt w:val="bullet"/>
      <w:lvlText w:val=""/>
      <w:lvlJc w:val="left"/>
      <w:pPr>
        <w:ind w:left="2880" w:hanging="360"/>
      </w:pPr>
      <w:rPr>
        <w:rFonts w:ascii="Symbol" w:hAnsi="Symbol" w:hint="default"/>
      </w:rPr>
    </w:lvl>
    <w:lvl w:ilvl="4" w:tplc="D2C09536">
      <w:start w:val="1"/>
      <w:numFmt w:val="bullet"/>
      <w:lvlText w:val="o"/>
      <w:lvlJc w:val="left"/>
      <w:pPr>
        <w:ind w:left="3600" w:hanging="360"/>
      </w:pPr>
      <w:rPr>
        <w:rFonts w:ascii="Courier New" w:hAnsi="Courier New" w:hint="default"/>
      </w:rPr>
    </w:lvl>
    <w:lvl w:ilvl="5" w:tplc="9EFA7230">
      <w:start w:val="1"/>
      <w:numFmt w:val="bullet"/>
      <w:lvlText w:val=""/>
      <w:lvlJc w:val="left"/>
      <w:pPr>
        <w:ind w:left="4320" w:hanging="360"/>
      </w:pPr>
      <w:rPr>
        <w:rFonts w:ascii="Wingdings" w:hAnsi="Wingdings" w:hint="default"/>
      </w:rPr>
    </w:lvl>
    <w:lvl w:ilvl="6" w:tplc="F7A4D896">
      <w:start w:val="1"/>
      <w:numFmt w:val="bullet"/>
      <w:lvlText w:val=""/>
      <w:lvlJc w:val="left"/>
      <w:pPr>
        <w:ind w:left="5040" w:hanging="360"/>
      </w:pPr>
      <w:rPr>
        <w:rFonts w:ascii="Symbol" w:hAnsi="Symbol" w:hint="default"/>
      </w:rPr>
    </w:lvl>
    <w:lvl w:ilvl="7" w:tplc="8C0649B4">
      <w:start w:val="1"/>
      <w:numFmt w:val="bullet"/>
      <w:lvlText w:val="o"/>
      <w:lvlJc w:val="left"/>
      <w:pPr>
        <w:ind w:left="5760" w:hanging="360"/>
      </w:pPr>
      <w:rPr>
        <w:rFonts w:ascii="Courier New" w:hAnsi="Courier New" w:hint="default"/>
      </w:rPr>
    </w:lvl>
    <w:lvl w:ilvl="8" w:tplc="0434C16E">
      <w:start w:val="1"/>
      <w:numFmt w:val="bullet"/>
      <w:lvlText w:val=""/>
      <w:lvlJc w:val="left"/>
      <w:pPr>
        <w:ind w:left="6480" w:hanging="360"/>
      </w:pPr>
      <w:rPr>
        <w:rFonts w:ascii="Wingdings" w:hAnsi="Wingdings" w:hint="default"/>
      </w:rPr>
    </w:lvl>
  </w:abstractNum>
  <w:abstractNum w:abstractNumId="24" w15:restartNumberingAfterBreak="0">
    <w:nsid w:val="5D0D72D0"/>
    <w:multiLevelType w:val="hybridMultilevel"/>
    <w:tmpl w:val="8D00A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192CD2"/>
    <w:multiLevelType w:val="hybridMultilevel"/>
    <w:tmpl w:val="FFFFFFFF"/>
    <w:lvl w:ilvl="0" w:tplc="7ECE07FA">
      <w:start w:val="1"/>
      <w:numFmt w:val="bullet"/>
      <w:lvlText w:val=""/>
      <w:lvlJc w:val="left"/>
      <w:pPr>
        <w:ind w:left="720" w:hanging="360"/>
      </w:pPr>
      <w:rPr>
        <w:rFonts w:ascii="Symbol" w:hAnsi="Symbol" w:hint="default"/>
      </w:rPr>
    </w:lvl>
    <w:lvl w:ilvl="1" w:tplc="457E7AEC">
      <w:start w:val="1"/>
      <w:numFmt w:val="bullet"/>
      <w:lvlText w:val="o"/>
      <w:lvlJc w:val="left"/>
      <w:pPr>
        <w:ind w:left="1440" w:hanging="360"/>
      </w:pPr>
      <w:rPr>
        <w:rFonts w:ascii="Courier New" w:hAnsi="Courier New" w:hint="default"/>
      </w:rPr>
    </w:lvl>
    <w:lvl w:ilvl="2" w:tplc="2FBC95D2">
      <w:start w:val="1"/>
      <w:numFmt w:val="bullet"/>
      <w:lvlText w:val=""/>
      <w:lvlJc w:val="left"/>
      <w:pPr>
        <w:ind w:left="2160" w:hanging="360"/>
      </w:pPr>
      <w:rPr>
        <w:rFonts w:ascii="Wingdings" w:hAnsi="Wingdings" w:hint="default"/>
      </w:rPr>
    </w:lvl>
    <w:lvl w:ilvl="3" w:tplc="049E63C4">
      <w:start w:val="1"/>
      <w:numFmt w:val="bullet"/>
      <w:lvlText w:val=""/>
      <w:lvlJc w:val="left"/>
      <w:pPr>
        <w:ind w:left="2880" w:hanging="360"/>
      </w:pPr>
      <w:rPr>
        <w:rFonts w:ascii="Symbol" w:hAnsi="Symbol" w:hint="default"/>
      </w:rPr>
    </w:lvl>
    <w:lvl w:ilvl="4" w:tplc="CFDE2CBC">
      <w:start w:val="1"/>
      <w:numFmt w:val="bullet"/>
      <w:lvlText w:val="o"/>
      <w:lvlJc w:val="left"/>
      <w:pPr>
        <w:ind w:left="3600" w:hanging="360"/>
      </w:pPr>
      <w:rPr>
        <w:rFonts w:ascii="Courier New" w:hAnsi="Courier New" w:hint="default"/>
      </w:rPr>
    </w:lvl>
    <w:lvl w:ilvl="5" w:tplc="A66639BA">
      <w:start w:val="1"/>
      <w:numFmt w:val="bullet"/>
      <w:lvlText w:val=""/>
      <w:lvlJc w:val="left"/>
      <w:pPr>
        <w:ind w:left="4320" w:hanging="360"/>
      </w:pPr>
      <w:rPr>
        <w:rFonts w:ascii="Wingdings" w:hAnsi="Wingdings" w:hint="default"/>
      </w:rPr>
    </w:lvl>
    <w:lvl w:ilvl="6" w:tplc="05F27AC6">
      <w:start w:val="1"/>
      <w:numFmt w:val="bullet"/>
      <w:lvlText w:val=""/>
      <w:lvlJc w:val="left"/>
      <w:pPr>
        <w:ind w:left="5040" w:hanging="360"/>
      </w:pPr>
      <w:rPr>
        <w:rFonts w:ascii="Symbol" w:hAnsi="Symbol" w:hint="default"/>
      </w:rPr>
    </w:lvl>
    <w:lvl w:ilvl="7" w:tplc="5D3AF742">
      <w:start w:val="1"/>
      <w:numFmt w:val="bullet"/>
      <w:lvlText w:val="o"/>
      <w:lvlJc w:val="left"/>
      <w:pPr>
        <w:ind w:left="5760" w:hanging="360"/>
      </w:pPr>
      <w:rPr>
        <w:rFonts w:ascii="Courier New" w:hAnsi="Courier New" w:hint="default"/>
      </w:rPr>
    </w:lvl>
    <w:lvl w:ilvl="8" w:tplc="5F90B076">
      <w:start w:val="1"/>
      <w:numFmt w:val="bullet"/>
      <w:lvlText w:val=""/>
      <w:lvlJc w:val="left"/>
      <w:pPr>
        <w:ind w:left="6480" w:hanging="360"/>
      </w:pPr>
      <w:rPr>
        <w:rFonts w:ascii="Wingdings" w:hAnsi="Wingdings" w:hint="default"/>
      </w:rPr>
    </w:lvl>
  </w:abstractNum>
  <w:abstractNum w:abstractNumId="26" w15:restartNumberingAfterBreak="0">
    <w:nsid w:val="6222734B"/>
    <w:multiLevelType w:val="hybridMultilevel"/>
    <w:tmpl w:val="EDA204A4"/>
    <w:lvl w:ilvl="0" w:tplc="8A02F33C">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347C16"/>
    <w:multiLevelType w:val="hybridMultilevel"/>
    <w:tmpl w:val="784C6EB4"/>
    <w:lvl w:ilvl="0" w:tplc="0DEA168A">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3A3823"/>
    <w:multiLevelType w:val="hybridMultilevel"/>
    <w:tmpl w:val="8B0A5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3D28EE"/>
    <w:multiLevelType w:val="hybridMultilevel"/>
    <w:tmpl w:val="FFFFFFFF"/>
    <w:lvl w:ilvl="0" w:tplc="BF6288C8">
      <w:start w:val="1"/>
      <w:numFmt w:val="decimal"/>
      <w:lvlText w:val="%1.."/>
      <w:lvlJc w:val="left"/>
      <w:pPr>
        <w:ind w:left="720" w:hanging="360"/>
      </w:pPr>
    </w:lvl>
    <w:lvl w:ilvl="1" w:tplc="D160E08A">
      <w:start w:val="1"/>
      <w:numFmt w:val="lowerLetter"/>
      <w:lvlText w:val="%2."/>
      <w:lvlJc w:val="left"/>
      <w:pPr>
        <w:ind w:left="1440" w:hanging="360"/>
      </w:pPr>
    </w:lvl>
    <w:lvl w:ilvl="2" w:tplc="BBBA72EA">
      <w:start w:val="1"/>
      <w:numFmt w:val="lowerRoman"/>
      <w:lvlText w:val="%3."/>
      <w:lvlJc w:val="right"/>
      <w:pPr>
        <w:ind w:left="2160" w:hanging="180"/>
      </w:pPr>
    </w:lvl>
    <w:lvl w:ilvl="3" w:tplc="F6E09A58">
      <w:start w:val="1"/>
      <w:numFmt w:val="decimal"/>
      <w:lvlText w:val="%4."/>
      <w:lvlJc w:val="left"/>
      <w:pPr>
        <w:ind w:left="2880" w:hanging="360"/>
      </w:pPr>
    </w:lvl>
    <w:lvl w:ilvl="4" w:tplc="C8E23BA8">
      <w:start w:val="1"/>
      <w:numFmt w:val="lowerLetter"/>
      <w:lvlText w:val="%5."/>
      <w:lvlJc w:val="left"/>
      <w:pPr>
        <w:ind w:left="3600" w:hanging="360"/>
      </w:pPr>
    </w:lvl>
    <w:lvl w:ilvl="5" w:tplc="01F44BFA">
      <w:start w:val="1"/>
      <w:numFmt w:val="lowerRoman"/>
      <w:lvlText w:val="%6."/>
      <w:lvlJc w:val="right"/>
      <w:pPr>
        <w:ind w:left="4320" w:hanging="180"/>
      </w:pPr>
    </w:lvl>
    <w:lvl w:ilvl="6" w:tplc="303A967E">
      <w:start w:val="1"/>
      <w:numFmt w:val="decimal"/>
      <w:lvlText w:val="%7."/>
      <w:lvlJc w:val="left"/>
      <w:pPr>
        <w:ind w:left="5040" w:hanging="360"/>
      </w:pPr>
    </w:lvl>
    <w:lvl w:ilvl="7" w:tplc="C4626B2E">
      <w:start w:val="1"/>
      <w:numFmt w:val="lowerLetter"/>
      <w:lvlText w:val="%8."/>
      <w:lvlJc w:val="left"/>
      <w:pPr>
        <w:ind w:left="5760" w:hanging="360"/>
      </w:pPr>
    </w:lvl>
    <w:lvl w:ilvl="8" w:tplc="1F987888">
      <w:start w:val="1"/>
      <w:numFmt w:val="lowerRoman"/>
      <w:lvlText w:val="%9."/>
      <w:lvlJc w:val="right"/>
      <w:pPr>
        <w:ind w:left="6480" w:hanging="180"/>
      </w:pPr>
    </w:lvl>
  </w:abstractNum>
  <w:abstractNum w:abstractNumId="30" w15:restartNumberingAfterBreak="0">
    <w:nsid w:val="714F20C4"/>
    <w:multiLevelType w:val="hybridMultilevel"/>
    <w:tmpl w:val="6A8E2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B24491"/>
    <w:multiLevelType w:val="hybridMultilevel"/>
    <w:tmpl w:val="67F20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1085832">
    <w:abstractNumId w:val="29"/>
  </w:num>
  <w:num w:numId="2" w16cid:durableId="1728406769">
    <w:abstractNumId w:val="15"/>
  </w:num>
  <w:num w:numId="3" w16cid:durableId="40256096">
    <w:abstractNumId w:val="23"/>
  </w:num>
  <w:num w:numId="4" w16cid:durableId="801115769">
    <w:abstractNumId w:val="8"/>
  </w:num>
  <w:num w:numId="5" w16cid:durableId="1471248757">
    <w:abstractNumId w:val="21"/>
  </w:num>
  <w:num w:numId="6" w16cid:durableId="831415191">
    <w:abstractNumId w:val="2"/>
  </w:num>
  <w:num w:numId="7" w16cid:durableId="17316375">
    <w:abstractNumId w:val="25"/>
  </w:num>
  <w:num w:numId="8" w16cid:durableId="2034263987">
    <w:abstractNumId w:val="13"/>
  </w:num>
  <w:num w:numId="9" w16cid:durableId="350499116">
    <w:abstractNumId w:val="14"/>
  </w:num>
  <w:num w:numId="10" w16cid:durableId="674724048">
    <w:abstractNumId w:val="17"/>
  </w:num>
  <w:num w:numId="11" w16cid:durableId="1759868391">
    <w:abstractNumId w:val="0"/>
  </w:num>
  <w:num w:numId="12" w16cid:durableId="248389889">
    <w:abstractNumId w:val="12"/>
  </w:num>
  <w:num w:numId="13" w16cid:durableId="1893269605">
    <w:abstractNumId w:val="20"/>
  </w:num>
  <w:num w:numId="14" w16cid:durableId="991834744">
    <w:abstractNumId w:val="7"/>
  </w:num>
  <w:num w:numId="15" w16cid:durableId="1390883067">
    <w:abstractNumId w:val="5"/>
  </w:num>
  <w:num w:numId="16" w16cid:durableId="66928985">
    <w:abstractNumId w:val="24"/>
  </w:num>
  <w:num w:numId="17" w16cid:durableId="958217143">
    <w:abstractNumId w:val="27"/>
  </w:num>
  <w:num w:numId="18" w16cid:durableId="1075325524">
    <w:abstractNumId w:val="31"/>
  </w:num>
  <w:num w:numId="19" w16cid:durableId="774902982">
    <w:abstractNumId w:val="28"/>
  </w:num>
  <w:num w:numId="20" w16cid:durableId="1210721683">
    <w:abstractNumId w:val="4"/>
  </w:num>
  <w:num w:numId="21" w16cid:durableId="2060324392">
    <w:abstractNumId w:val="6"/>
  </w:num>
  <w:num w:numId="22" w16cid:durableId="707797646">
    <w:abstractNumId w:val="18"/>
  </w:num>
  <w:num w:numId="23" w16cid:durableId="1840922407">
    <w:abstractNumId w:val="9"/>
  </w:num>
  <w:num w:numId="24" w16cid:durableId="905334168">
    <w:abstractNumId w:val="16"/>
  </w:num>
  <w:num w:numId="25" w16cid:durableId="378943108">
    <w:abstractNumId w:val="26"/>
  </w:num>
  <w:num w:numId="26" w16cid:durableId="1431587883">
    <w:abstractNumId w:val="1"/>
  </w:num>
  <w:num w:numId="27" w16cid:durableId="133719622">
    <w:abstractNumId w:val="19"/>
  </w:num>
  <w:num w:numId="28" w16cid:durableId="849103643">
    <w:abstractNumId w:val="11"/>
  </w:num>
  <w:num w:numId="29" w16cid:durableId="8798296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5350907">
    <w:abstractNumId w:val="14"/>
  </w:num>
  <w:num w:numId="31" w16cid:durableId="1706127821">
    <w:abstractNumId w:val="14"/>
  </w:num>
  <w:num w:numId="32" w16cid:durableId="1441293204">
    <w:abstractNumId w:val="22"/>
  </w:num>
  <w:num w:numId="33" w16cid:durableId="837964860">
    <w:abstractNumId w:val="10"/>
  </w:num>
  <w:num w:numId="34" w16cid:durableId="1256015235">
    <w:abstractNumId w:val="30"/>
  </w:num>
  <w:num w:numId="35" w16cid:durableId="118201696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DE9"/>
    <w:rsid w:val="000023D9"/>
    <w:rsid w:val="00002F1F"/>
    <w:rsid w:val="000032FA"/>
    <w:rsid w:val="00007EDD"/>
    <w:rsid w:val="00010645"/>
    <w:rsid w:val="00010A03"/>
    <w:rsid w:val="00015765"/>
    <w:rsid w:val="00022C2A"/>
    <w:rsid w:val="00024ABE"/>
    <w:rsid w:val="00027529"/>
    <w:rsid w:val="000301BA"/>
    <w:rsid w:val="00030B76"/>
    <w:rsid w:val="00031F99"/>
    <w:rsid w:val="0003365B"/>
    <w:rsid w:val="00033D61"/>
    <w:rsid w:val="000419BD"/>
    <w:rsid w:val="00043666"/>
    <w:rsid w:val="00047E23"/>
    <w:rsid w:val="000502EC"/>
    <w:rsid w:val="000515A4"/>
    <w:rsid w:val="00057246"/>
    <w:rsid w:val="000617BB"/>
    <w:rsid w:val="0006265A"/>
    <w:rsid w:val="00062BA6"/>
    <w:rsid w:val="00063000"/>
    <w:rsid w:val="00066AF1"/>
    <w:rsid w:val="000710F9"/>
    <w:rsid w:val="0007224F"/>
    <w:rsid w:val="00073A0D"/>
    <w:rsid w:val="00073F5E"/>
    <w:rsid w:val="00075F1D"/>
    <w:rsid w:val="00076AD6"/>
    <w:rsid w:val="00076F90"/>
    <w:rsid w:val="000772B7"/>
    <w:rsid w:val="00077E66"/>
    <w:rsid w:val="0008016A"/>
    <w:rsid w:val="000817B1"/>
    <w:rsid w:val="000821BF"/>
    <w:rsid w:val="00082609"/>
    <w:rsid w:val="00084793"/>
    <w:rsid w:val="00086746"/>
    <w:rsid w:val="00090D6B"/>
    <w:rsid w:val="00093542"/>
    <w:rsid w:val="00094333"/>
    <w:rsid w:val="00094BC5"/>
    <w:rsid w:val="0009512D"/>
    <w:rsid w:val="0009788C"/>
    <w:rsid w:val="000A0D62"/>
    <w:rsid w:val="000A75A7"/>
    <w:rsid w:val="000B2956"/>
    <w:rsid w:val="000B2AC5"/>
    <w:rsid w:val="000B4CFD"/>
    <w:rsid w:val="000C5C51"/>
    <w:rsid w:val="000D6120"/>
    <w:rsid w:val="000E2E43"/>
    <w:rsid w:val="000E3E94"/>
    <w:rsid w:val="000E6B05"/>
    <w:rsid w:val="000E6B6D"/>
    <w:rsid w:val="000E7612"/>
    <w:rsid w:val="000E7995"/>
    <w:rsid w:val="000F1ADC"/>
    <w:rsid w:val="000F4941"/>
    <w:rsid w:val="000F5960"/>
    <w:rsid w:val="000F6367"/>
    <w:rsid w:val="000F653C"/>
    <w:rsid w:val="00102926"/>
    <w:rsid w:val="001038D5"/>
    <w:rsid w:val="00105356"/>
    <w:rsid w:val="001054C2"/>
    <w:rsid w:val="00107604"/>
    <w:rsid w:val="00110D62"/>
    <w:rsid w:val="0011382F"/>
    <w:rsid w:val="00114AF8"/>
    <w:rsid w:val="00115E02"/>
    <w:rsid w:val="0011738C"/>
    <w:rsid w:val="00122AFA"/>
    <w:rsid w:val="0012305B"/>
    <w:rsid w:val="0012A5AD"/>
    <w:rsid w:val="00130053"/>
    <w:rsid w:val="00130D3B"/>
    <w:rsid w:val="001325C8"/>
    <w:rsid w:val="00136C19"/>
    <w:rsid w:val="00152E76"/>
    <w:rsid w:val="00153F35"/>
    <w:rsid w:val="0015431A"/>
    <w:rsid w:val="0016186E"/>
    <w:rsid w:val="001623EA"/>
    <w:rsid w:val="00165BA0"/>
    <w:rsid w:val="00166E22"/>
    <w:rsid w:val="00167A85"/>
    <w:rsid w:val="00171EA4"/>
    <w:rsid w:val="00172D2A"/>
    <w:rsid w:val="001739BD"/>
    <w:rsid w:val="00174250"/>
    <w:rsid w:val="00180173"/>
    <w:rsid w:val="00181AB7"/>
    <w:rsid w:val="00184CB2"/>
    <w:rsid w:val="0018594E"/>
    <w:rsid w:val="00187E47"/>
    <w:rsid w:val="001929A1"/>
    <w:rsid w:val="0019383D"/>
    <w:rsid w:val="001944D1"/>
    <w:rsid w:val="001952F7"/>
    <w:rsid w:val="0019553F"/>
    <w:rsid w:val="001A0A3D"/>
    <w:rsid w:val="001A0A95"/>
    <w:rsid w:val="001A326B"/>
    <w:rsid w:val="001A3E25"/>
    <w:rsid w:val="001B3F4E"/>
    <w:rsid w:val="001B7196"/>
    <w:rsid w:val="001C543C"/>
    <w:rsid w:val="001C671F"/>
    <w:rsid w:val="001D2D1E"/>
    <w:rsid w:val="001D6430"/>
    <w:rsid w:val="001E1B3E"/>
    <w:rsid w:val="001E4DD7"/>
    <w:rsid w:val="001E632B"/>
    <w:rsid w:val="001E6341"/>
    <w:rsid w:val="001E662E"/>
    <w:rsid w:val="001F00AF"/>
    <w:rsid w:val="001F654E"/>
    <w:rsid w:val="00201263"/>
    <w:rsid w:val="0020264F"/>
    <w:rsid w:val="00205EF9"/>
    <w:rsid w:val="002062CD"/>
    <w:rsid w:val="00210134"/>
    <w:rsid w:val="00213847"/>
    <w:rsid w:val="002145D3"/>
    <w:rsid w:val="00221913"/>
    <w:rsid w:val="0022289D"/>
    <w:rsid w:val="00222ADF"/>
    <w:rsid w:val="002231E5"/>
    <w:rsid w:val="00223579"/>
    <w:rsid w:val="00223CB1"/>
    <w:rsid w:val="00226FB4"/>
    <w:rsid w:val="0022730A"/>
    <w:rsid w:val="00232DD0"/>
    <w:rsid w:val="0023322C"/>
    <w:rsid w:val="00235259"/>
    <w:rsid w:val="0023754A"/>
    <w:rsid w:val="00240802"/>
    <w:rsid w:val="00242196"/>
    <w:rsid w:val="00242979"/>
    <w:rsid w:val="00247639"/>
    <w:rsid w:val="00247E81"/>
    <w:rsid w:val="00250628"/>
    <w:rsid w:val="00251D3F"/>
    <w:rsid w:val="002543BF"/>
    <w:rsid w:val="0025655A"/>
    <w:rsid w:val="00260C2A"/>
    <w:rsid w:val="00265A4E"/>
    <w:rsid w:val="00266070"/>
    <w:rsid w:val="00266726"/>
    <w:rsid w:val="00266E82"/>
    <w:rsid w:val="00270F88"/>
    <w:rsid w:val="00271684"/>
    <w:rsid w:val="00276F11"/>
    <w:rsid w:val="00280C63"/>
    <w:rsid w:val="00286F32"/>
    <w:rsid w:val="00292F0C"/>
    <w:rsid w:val="00294CBA"/>
    <w:rsid w:val="00297F77"/>
    <w:rsid w:val="002A1FB2"/>
    <w:rsid w:val="002A3E17"/>
    <w:rsid w:val="002A7FC9"/>
    <w:rsid w:val="002B1673"/>
    <w:rsid w:val="002B2E06"/>
    <w:rsid w:val="002C0F9E"/>
    <w:rsid w:val="002C6CAE"/>
    <w:rsid w:val="002C6D51"/>
    <w:rsid w:val="002D0487"/>
    <w:rsid w:val="002D0BF0"/>
    <w:rsid w:val="002D3B3C"/>
    <w:rsid w:val="002D536E"/>
    <w:rsid w:val="002D5DB7"/>
    <w:rsid w:val="002D61A9"/>
    <w:rsid w:val="002D673F"/>
    <w:rsid w:val="002E16C3"/>
    <w:rsid w:val="002E5FCB"/>
    <w:rsid w:val="002E628C"/>
    <w:rsid w:val="002E6A7A"/>
    <w:rsid w:val="002E7FF5"/>
    <w:rsid w:val="002F248C"/>
    <w:rsid w:val="002F3D70"/>
    <w:rsid w:val="002F6769"/>
    <w:rsid w:val="003038A7"/>
    <w:rsid w:val="0030511D"/>
    <w:rsid w:val="00307945"/>
    <w:rsid w:val="0031159E"/>
    <w:rsid w:val="00312C16"/>
    <w:rsid w:val="00313AA4"/>
    <w:rsid w:val="00315F69"/>
    <w:rsid w:val="00316BED"/>
    <w:rsid w:val="00316FAC"/>
    <w:rsid w:val="00326C0E"/>
    <w:rsid w:val="00331C24"/>
    <w:rsid w:val="0033445E"/>
    <w:rsid w:val="00335A3C"/>
    <w:rsid w:val="00336829"/>
    <w:rsid w:val="003370D2"/>
    <w:rsid w:val="00340156"/>
    <w:rsid w:val="0034054C"/>
    <w:rsid w:val="00343075"/>
    <w:rsid w:val="00343866"/>
    <w:rsid w:val="00347455"/>
    <w:rsid w:val="00347AFB"/>
    <w:rsid w:val="00347E21"/>
    <w:rsid w:val="00353A52"/>
    <w:rsid w:val="00360558"/>
    <w:rsid w:val="00362A8D"/>
    <w:rsid w:val="003649CB"/>
    <w:rsid w:val="00364DAC"/>
    <w:rsid w:val="0036570E"/>
    <w:rsid w:val="003665A1"/>
    <w:rsid w:val="00366BAE"/>
    <w:rsid w:val="00370BAF"/>
    <w:rsid w:val="00371A99"/>
    <w:rsid w:val="0037638F"/>
    <w:rsid w:val="00377E8B"/>
    <w:rsid w:val="003810D9"/>
    <w:rsid w:val="00382F5A"/>
    <w:rsid w:val="0038345C"/>
    <w:rsid w:val="00384920"/>
    <w:rsid w:val="003870B3"/>
    <w:rsid w:val="00387AD0"/>
    <w:rsid w:val="00390315"/>
    <w:rsid w:val="00391924"/>
    <w:rsid w:val="003919CC"/>
    <w:rsid w:val="003922EC"/>
    <w:rsid w:val="00392587"/>
    <w:rsid w:val="00394045"/>
    <w:rsid w:val="003955AA"/>
    <w:rsid w:val="003A2AC0"/>
    <w:rsid w:val="003A6061"/>
    <w:rsid w:val="003B2559"/>
    <w:rsid w:val="003B46F3"/>
    <w:rsid w:val="003C0085"/>
    <w:rsid w:val="003C13C4"/>
    <w:rsid w:val="003C1477"/>
    <w:rsid w:val="003C3471"/>
    <w:rsid w:val="003C3E20"/>
    <w:rsid w:val="003C411E"/>
    <w:rsid w:val="003D00C2"/>
    <w:rsid w:val="003D2CC7"/>
    <w:rsid w:val="003D3EE9"/>
    <w:rsid w:val="003D5D4E"/>
    <w:rsid w:val="003E0C5A"/>
    <w:rsid w:val="003E168E"/>
    <w:rsid w:val="003E2E2F"/>
    <w:rsid w:val="003E3046"/>
    <w:rsid w:val="003E3F8B"/>
    <w:rsid w:val="003E7DFB"/>
    <w:rsid w:val="003F02C1"/>
    <w:rsid w:val="003F09E6"/>
    <w:rsid w:val="003F1372"/>
    <w:rsid w:val="003F530C"/>
    <w:rsid w:val="00405C1D"/>
    <w:rsid w:val="004105A5"/>
    <w:rsid w:val="0041223E"/>
    <w:rsid w:val="00412809"/>
    <w:rsid w:val="004139E1"/>
    <w:rsid w:val="004226D7"/>
    <w:rsid w:val="004231EB"/>
    <w:rsid w:val="00423332"/>
    <w:rsid w:val="004241EB"/>
    <w:rsid w:val="00425EA6"/>
    <w:rsid w:val="00426486"/>
    <w:rsid w:val="0043210A"/>
    <w:rsid w:val="00432DA1"/>
    <w:rsid w:val="00435366"/>
    <w:rsid w:val="00436E4A"/>
    <w:rsid w:val="00440C3E"/>
    <w:rsid w:val="0044191A"/>
    <w:rsid w:val="0044338A"/>
    <w:rsid w:val="0045038C"/>
    <w:rsid w:val="004506CC"/>
    <w:rsid w:val="00452FF9"/>
    <w:rsid w:val="0046312E"/>
    <w:rsid w:val="0046367E"/>
    <w:rsid w:val="00464BA3"/>
    <w:rsid w:val="00472B3B"/>
    <w:rsid w:val="004730BE"/>
    <w:rsid w:val="00482BF8"/>
    <w:rsid w:val="0048793A"/>
    <w:rsid w:val="0049353A"/>
    <w:rsid w:val="0049396C"/>
    <w:rsid w:val="00493BFB"/>
    <w:rsid w:val="004A3A28"/>
    <w:rsid w:val="004B13EF"/>
    <w:rsid w:val="004B2516"/>
    <w:rsid w:val="004B403A"/>
    <w:rsid w:val="004B446B"/>
    <w:rsid w:val="004B71B6"/>
    <w:rsid w:val="004C6C09"/>
    <w:rsid w:val="004D0A6E"/>
    <w:rsid w:val="004D1863"/>
    <w:rsid w:val="004F3E68"/>
    <w:rsid w:val="004F4C7D"/>
    <w:rsid w:val="004F63C4"/>
    <w:rsid w:val="005078FA"/>
    <w:rsid w:val="00510DC8"/>
    <w:rsid w:val="0051561C"/>
    <w:rsid w:val="00515B5C"/>
    <w:rsid w:val="005171CB"/>
    <w:rsid w:val="005175EC"/>
    <w:rsid w:val="00520538"/>
    <w:rsid w:val="00523ACA"/>
    <w:rsid w:val="00526183"/>
    <w:rsid w:val="0052665B"/>
    <w:rsid w:val="005269F5"/>
    <w:rsid w:val="00530BDB"/>
    <w:rsid w:val="00530EBE"/>
    <w:rsid w:val="00533FEC"/>
    <w:rsid w:val="00541F7D"/>
    <w:rsid w:val="00542E53"/>
    <w:rsid w:val="00546987"/>
    <w:rsid w:val="00546A54"/>
    <w:rsid w:val="005472B8"/>
    <w:rsid w:val="005519AC"/>
    <w:rsid w:val="005530C6"/>
    <w:rsid w:val="0055502D"/>
    <w:rsid w:val="00556BCC"/>
    <w:rsid w:val="005570C3"/>
    <w:rsid w:val="00560731"/>
    <w:rsid w:val="00561C1B"/>
    <w:rsid w:val="00565E74"/>
    <w:rsid w:val="00566406"/>
    <w:rsid w:val="00572B85"/>
    <w:rsid w:val="0057415A"/>
    <w:rsid w:val="00576F04"/>
    <w:rsid w:val="00577ECA"/>
    <w:rsid w:val="00581CD8"/>
    <w:rsid w:val="005903F3"/>
    <w:rsid w:val="005916D4"/>
    <w:rsid w:val="005A161D"/>
    <w:rsid w:val="005A2C95"/>
    <w:rsid w:val="005B4BCB"/>
    <w:rsid w:val="005B61E0"/>
    <w:rsid w:val="005BDDFF"/>
    <w:rsid w:val="005D09B5"/>
    <w:rsid w:val="005D1670"/>
    <w:rsid w:val="005D27F9"/>
    <w:rsid w:val="005D70A2"/>
    <w:rsid w:val="005E0367"/>
    <w:rsid w:val="005E2B57"/>
    <w:rsid w:val="005E53B6"/>
    <w:rsid w:val="005F1833"/>
    <w:rsid w:val="005F1E5F"/>
    <w:rsid w:val="005F2509"/>
    <w:rsid w:val="005F52FC"/>
    <w:rsid w:val="005F611E"/>
    <w:rsid w:val="005F7901"/>
    <w:rsid w:val="00612135"/>
    <w:rsid w:val="00620FB6"/>
    <w:rsid w:val="0062279C"/>
    <w:rsid w:val="00624114"/>
    <w:rsid w:val="00637706"/>
    <w:rsid w:val="00647684"/>
    <w:rsid w:val="00647DD3"/>
    <w:rsid w:val="00652B62"/>
    <w:rsid w:val="0065397F"/>
    <w:rsid w:val="00653D2C"/>
    <w:rsid w:val="00654147"/>
    <w:rsid w:val="006545DE"/>
    <w:rsid w:val="0065623C"/>
    <w:rsid w:val="0065757A"/>
    <w:rsid w:val="00657985"/>
    <w:rsid w:val="006641B5"/>
    <w:rsid w:val="0066670A"/>
    <w:rsid w:val="0066789D"/>
    <w:rsid w:val="00667C61"/>
    <w:rsid w:val="006711B9"/>
    <w:rsid w:val="00673A16"/>
    <w:rsid w:val="00674313"/>
    <w:rsid w:val="00674394"/>
    <w:rsid w:val="00674577"/>
    <w:rsid w:val="00683A3D"/>
    <w:rsid w:val="00695B63"/>
    <w:rsid w:val="006A241A"/>
    <w:rsid w:val="006A3923"/>
    <w:rsid w:val="006A3A12"/>
    <w:rsid w:val="006A3BC5"/>
    <w:rsid w:val="006B0906"/>
    <w:rsid w:val="006B382B"/>
    <w:rsid w:val="006C34F4"/>
    <w:rsid w:val="006C380A"/>
    <w:rsid w:val="006C5F9C"/>
    <w:rsid w:val="006D4E04"/>
    <w:rsid w:val="006D6604"/>
    <w:rsid w:val="006D6769"/>
    <w:rsid w:val="006D7810"/>
    <w:rsid w:val="006E0A2E"/>
    <w:rsid w:val="006E0D6E"/>
    <w:rsid w:val="006E2E59"/>
    <w:rsid w:val="006E54A8"/>
    <w:rsid w:val="006E62D2"/>
    <w:rsid w:val="006F0F23"/>
    <w:rsid w:val="006F11BB"/>
    <w:rsid w:val="006F58D6"/>
    <w:rsid w:val="006F71E7"/>
    <w:rsid w:val="007022D6"/>
    <w:rsid w:val="0070237D"/>
    <w:rsid w:val="0070452A"/>
    <w:rsid w:val="00706C47"/>
    <w:rsid w:val="00714B49"/>
    <w:rsid w:val="00720A09"/>
    <w:rsid w:val="0072574E"/>
    <w:rsid w:val="00731033"/>
    <w:rsid w:val="007351C9"/>
    <w:rsid w:val="00740AF6"/>
    <w:rsid w:val="007428FC"/>
    <w:rsid w:val="007435A3"/>
    <w:rsid w:val="00744AAD"/>
    <w:rsid w:val="00755658"/>
    <w:rsid w:val="00755F98"/>
    <w:rsid w:val="00756B4A"/>
    <w:rsid w:val="0076120E"/>
    <w:rsid w:val="007628DA"/>
    <w:rsid w:val="0076684F"/>
    <w:rsid w:val="00770D79"/>
    <w:rsid w:val="0077297D"/>
    <w:rsid w:val="00772CD4"/>
    <w:rsid w:val="007735AD"/>
    <w:rsid w:val="00774CE6"/>
    <w:rsid w:val="007750A1"/>
    <w:rsid w:val="00775352"/>
    <w:rsid w:val="007815F6"/>
    <w:rsid w:val="00781ACA"/>
    <w:rsid w:val="00783960"/>
    <w:rsid w:val="007857B0"/>
    <w:rsid w:val="00785D24"/>
    <w:rsid w:val="00785FBD"/>
    <w:rsid w:val="00790CE4"/>
    <w:rsid w:val="007916FA"/>
    <w:rsid w:val="00791C60"/>
    <w:rsid w:val="007939BF"/>
    <w:rsid w:val="007A1B76"/>
    <w:rsid w:val="007A74C1"/>
    <w:rsid w:val="007B2EAF"/>
    <w:rsid w:val="007B5A32"/>
    <w:rsid w:val="007B5AB0"/>
    <w:rsid w:val="007B62F5"/>
    <w:rsid w:val="007C0978"/>
    <w:rsid w:val="007C7EBE"/>
    <w:rsid w:val="007D0443"/>
    <w:rsid w:val="007D1C02"/>
    <w:rsid w:val="007D31B7"/>
    <w:rsid w:val="007D499D"/>
    <w:rsid w:val="007D5261"/>
    <w:rsid w:val="007D547B"/>
    <w:rsid w:val="007D59E3"/>
    <w:rsid w:val="007D6E9F"/>
    <w:rsid w:val="007E149E"/>
    <w:rsid w:val="007E30AA"/>
    <w:rsid w:val="007E3950"/>
    <w:rsid w:val="007E58CD"/>
    <w:rsid w:val="007E695D"/>
    <w:rsid w:val="007E6FDD"/>
    <w:rsid w:val="007F37BD"/>
    <w:rsid w:val="007F579C"/>
    <w:rsid w:val="008000F6"/>
    <w:rsid w:val="00800777"/>
    <w:rsid w:val="00801712"/>
    <w:rsid w:val="0080485E"/>
    <w:rsid w:val="00815D24"/>
    <w:rsid w:val="00817CB6"/>
    <w:rsid w:val="00824A6B"/>
    <w:rsid w:val="00826181"/>
    <w:rsid w:val="00826A5F"/>
    <w:rsid w:val="00827D4E"/>
    <w:rsid w:val="00837366"/>
    <w:rsid w:val="00840ACD"/>
    <w:rsid w:val="00843D45"/>
    <w:rsid w:val="00846498"/>
    <w:rsid w:val="00856C99"/>
    <w:rsid w:val="008649CB"/>
    <w:rsid w:val="00866C16"/>
    <w:rsid w:val="008679BB"/>
    <w:rsid w:val="00873643"/>
    <w:rsid w:val="00873B6E"/>
    <w:rsid w:val="00874A8B"/>
    <w:rsid w:val="00880B5D"/>
    <w:rsid w:val="008850F0"/>
    <w:rsid w:val="00886446"/>
    <w:rsid w:val="008902A0"/>
    <w:rsid w:val="008906B3"/>
    <w:rsid w:val="0089085F"/>
    <w:rsid w:val="00890CBE"/>
    <w:rsid w:val="00891D8F"/>
    <w:rsid w:val="00892D48"/>
    <w:rsid w:val="008A3362"/>
    <w:rsid w:val="008A438E"/>
    <w:rsid w:val="008A5320"/>
    <w:rsid w:val="008A7308"/>
    <w:rsid w:val="008B322C"/>
    <w:rsid w:val="008B5C77"/>
    <w:rsid w:val="008B7B8A"/>
    <w:rsid w:val="008B7EE5"/>
    <w:rsid w:val="008C024C"/>
    <w:rsid w:val="008C303D"/>
    <w:rsid w:val="008C3C5E"/>
    <w:rsid w:val="008C453F"/>
    <w:rsid w:val="008C7108"/>
    <w:rsid w:val="008D037D"/>
    <w:rsid w:val="008D4C67"/>
    <w:rsid w:val="008D4DF6"/>
    <w:rsid w:val="008D6944"/>
    <w:rsid w:val="008D6E25"/>
    <w:rsid w:val="008E38A6"/>
    <w:rsid w:val="008E41E8"/>
    <w:rsid w:val="008F1AC1"/>
    <w:rsid w:val="008F53AB"/>
    <w:rsid w:val="008F762F"/>
    <w:rsid w:val="00901FF6"/>
    <w:rsid w:val="0090238B"/>
    <w:rsid w:val="0090779C"/>
    <w:rsid w:val="009125A8"/>
    <w:rsid w:val="0091264E"/>
    <w:rsid w:val="00916934"/>
    <w:rsid w:val="00922654"/>
    <w:rsid w:val="0092275D"/>
    <w:rsid w:val="0092352D"/>
    <w:rsid w:val="00924D6F"/>
    <w:rsid w:val="00935DA4"/>
    <w:rsid w:val="00935E3E"/>
    <w:rsid w:val="00936121"/>
    <w:rsid w:val="00936578"/>
    <w:rsid w:val="00937723"/>
    <w:rsid w:val="00943337"/>
    <w:rsid w:val="009442A0"/>
    <w:rsid w:val="00953810"/>
    <w:rsid w:val="00957B91"/>
    <w:rsid w:val="00962187"/>
    <w:rsid w:val="00963BBA"/>
    <w:rsid w:val="0097219B"/>
    <w:rsid w:val="009750A2"/>
    <w:rsid w:val="0097548C"/>
    <w:rsid w:val="00975506"/>
    <w:rsid w:val="00981E5D"/>
    <w:rsid w:val="009928CA"/>
    <w:rsid w:val="0099323B"/>
    <w:rsid w:val="00994FF4"/>
    <w:rsid w:val="0099513C"/>
    <w:rsid w:val="009A0248"/>
    <w:rsid w:val="009A0CE1"/>
    <w:rsid w:val="009A4A1B"/>
    <w:rsid w:val="009A5308"/>
    <w:rsid w:val="009A5670"/>
    <w:rsid w:val="009B249F"/>
    <w:rsid w:val="009B2C42"/>
    <w:rsid w:val="009B2DE1"/>
    <w:rsid w:val="009B4D76"/>
    <w:rsid w:val="009B5897"/>
    <w:rsid w:val="009C206C"/>
    <w:rsid w:val="009C2740"/>
    <w:rsid w:val="009C574E"/>
    <w:rsid w:val="009C5D78"/>
    <w:rsid w:val="009D1BF7"/>
    <w:rsid w:val="009D4051"/>
    <w:rsid w:val="009D4468"/>
    <w:rsid w:val="009D68EF"/>
    <w:rsid w:val="009E2DA8"/>
    <w:rsid w:val="009E4F10"/>
    <w:rsid w:val="009E51AF"/>
    <w:rsid w:val="009E6575"/>
    <w:rsid w:val="009E736A"/>
    <w:rsid w:val="009F0389"/>
    <w:rsid w:val="009F22EA"/>
    <w:rsid w:val="009F3C6B"/>
    <w:rsid w:val="009F3EA8"/>
    <w:rsid w:val="00A04936"/>
    <w:rsid w:val="00A04EEB"/>
    <w:rsid w:val="00A05AF0"/>
    <w:rsid w:val="00A069C0"/>
    <w:rsid w:val="00A07FA7"/>
    <w:rsid w:val="00A13B2D"/>
    <w:rsid w:val="00A13D2B"/>
    <w:rsid w:val="00A14CE4"/>
    <w:rsid w:val="00A20FAD"/>
    <w:rsid w:val="00A2312B"/>
    <w:rsid w:val="00A270D4"/>
    <w:rsid w:val="00A37B7D"/>
    <w:rsid w:val="00A4110B"/>
    <w:rsid w:val="00A42AA4"/>
    <w:rsid w:val="00A4440B"/>
    <w:rsid w:val="00A55BB2"/>
    <w:rsid w:val="00A571CD"/>
    <w:rsid w:val="00A574EB"/>
    <w:rsid w:val="00A63661"/>
    <w:rsid w:val="00A65126"/>
    <w:rsid w:val="00A659C2"/>
    <w:rsid w:val="00A66759"/>
    <w:rsid w:val="00A71749"/>
    <w:rsid w:val="00A72393"/>
    <w:rsid w:val="00A726BE"/>
    <w:rsid w:val="00A730DA"/>
    <w:rsid w:val="00A814FC"/>
    <w:rsid w:val="00A8290C"/>
    <w:rsid w:val="00A84A85"/>
    <w:rsid w:val="00A87BBA"/>
    <w:rsid w:val="00A91950"/>
    <w:rsid w:val="00A92AE6"/>
    <w:rsid w:val="00A95B2A"/>
    <w:rsid w:val="00A95BB6"/>
    <w:rsid w:val="00AA1009"/>
    <w:rsid w:val="00AA23E6"/>
    <w:rsid w:val="00AA3DE3"/>
    <w:rsid w:val="00AA6434"/>
    <w:rsid w:val="00AB00CE"/>
    <w:rsid w:val="00AB05E1"/>
    <w:rsid w:val="00AB113B"/>
    <w:rsid w:val="00AB355A"/>
    <w:rsid w:val="00AB3B09"/>
    <w:rsid w:val="00AB3DEB"/>
    <w:rsid w:val="00AB5764"/>
    <w:rsid w:val="00AB57FB"/>
    <w:rsid w:val="00AB5EE5"/>
    <w:rsid w:val="00AC54B7"/>
    <w:rsid w:val="00AC7AB2"/>
    <w:rsid w:val="00AD28E2"/>
    <w:rsid w:val="00AD32C1"/>
    <w:rsid w:val="00AD6274"/>
    <w:rsid w:val="00AE0EB1"/>
    <w:rsid w:val="00AE1742"/>
    <w:rsid w:val="00AE4954"/>
    <w:rsid w:val="00AE6C5F"/>
    <w:rsid w:val="00AF1D92"/>
    <w:rsid w:val="00AF7DA9"/>
    <w:rsid w:val="00B0114F"/>
    <w:rsid w:val="00B02991"/>
    <w:rsid w:val="00B056E9"/>
    <w:rsid w:val="00B061CD"/>
    <w:rsid w:val="00B06FDC"/>
    <w:rsid w:val="00B12BD7"/>
    <w:rsid w:val="00B1433E"/>
    <w:rsid w:val="00B15168"/>
    <w:rsid w:val="00B154C7"/>
    <w:rsid w:val="00B205D7"/>
    <w:rsid w:val="00B2268C"/>
    <w:rsid w:val="00B24DEC"/>
    <w:rsid w:val="00B26EE0"/>
    <w:rsid w:val="00B301FF"/>
    <w:rsid w:val="00B330A7"/>
    <w:rsid w:val="00B3336A"/>
    <w:rsid w:val="00B33B71"/>
    <w:rsid w:val="00B33DE4"/>
    <w:rsid w:val="00B33EAA"/>
    <w:rsid w:val="00B40E9B"/>
    <w:rsid w:val="00B41A98"/>
    <w:rsid w:val="00B4264E"/>
    <w:rsid w:val="00B509E8"/>
    <w:rsid w:val="00B560A0"/>
    <w:rsid w:val="00B57DF9"/>
    <w:rsid w:val="00B60C31"/>
    <w:rsid w:val="00B632BE"/>
    <w:rsid w:val="00B65064"/>
    <w:rsid w:val="00B65C6B"/>
    <w:rsid w:val="00B66370"/>
    <w:rsid w:val="00B67505"/>
    <w:rsid w:val="00B702E1"/>
    <w:rsid w:val="00B720CF"/>
    <w:rsid w:val="00B7712C"/>
    <w:rsid w:val="00B80A6A"/>
    <w:rsid w:val="00B8179A"/>
    <w:rsid w:val="00B91313"/>
    <w:rsid w:val="00B92175"/>
    <w:rsid w:val="00B96FF5"/>
    <w:rsid w:val="00BA1F7E"/>
    <w:rsid w:val="00BA36F2"/>
    <w:rsid w:val="00BA3CCF"/>
    <w:rsid w:val="00BA527E"/>
    <w:rsid w:val="00BA67E4"/>
    <w:rsid w:val="00BA6F2B"/>
    <w:rsid w:val="00BA7B02"/>
    <w:rsid w:val="00BB3A3F"/>
    <w:rsid w:val="00BB4AC1"/>
    <w:rsid w:val="00BB5903"/>
    <w:rsid w:val="00BB6B93"/>
    <w:rsid w:val="00BC0DE9"/>
    <w:rsid w:val="00BC7AC4"/>
    <w:rsid w:val="00BD1EDF"/>
    <w:rsid w:val="00BD5839"/>
    <w:rsid w:val="00BE7440"/>
    <w:rsid w:val="00BF0D21"/>
    <w:rsid w:val="00BF4906"/>
    <w:rsid w:val="00BF54A0"/>
    <w:rsid w:val="00BF55F7"/>
    <w:rsid w:val="00C01FA6"/>
    <w:rsid w:val="00C04DB7"/>
    <w:rsid w:val="00C10916"/>
    <w:rsid w:val="00C12521"/>
    <w:rsid w:val="00C14506"/>
    <w:rsid w:val="00C14A14"/>
    <w:rsid w:val="00C15515"/>
    <w:rsid w:val="00C20F7B"/>
    <w:rsid w:val="00C21206"/>
    <w:rsid w:val="00C227D3"/>
    <w:rsid w:val="00C231DD"/>
    <w:rsid w:val="00C24A6B"/>
    <w:rsid w:val="00C25468"/>
    <w:rsid w:val="00C257C3"/>
    <w:rsid w:val="00C25839"/>
    <w:rsid w:val="00C258D6"/>
    <w:rsid w:val="00C26B8D"/>
    <w:rsid w:val="00C358AB"/>
    <w:rsid w:val="00C36165"/>
    <w:rsid w:val="00C36345"/>
    <w:rsid w:val="00C44DD4"/>
    <w:rsid w:val="00C457BD"/>
    <w:rsid w:val="00C458FF"/>
    <w:rsid w:val="00C45F30"/>
    <w:rsid w:val="00C565CF"/>
    <w:rsid w:val="00C621E5"/>
    <w:rsid w:val="00C63433"/>
    <w:rsid w:val="00C65463"/>
    <w:rsid w:val="00C7568F"/>
    <w:rsid w:val="00C75F24"/>
    <w:rsid w:val="00C76264"/>
    <w:rsid w:val="00C77163"/>
    <w:rsid w:val="00C81B63"/>
    <w:rsid w:val="00C81E36"/>
    <w:rsid w:val="00C82D1E"/>
    <w:rsid w:val="00C83C76"/>
    <w:rsid w:val="00C86ABF"/>
    <w:rsid w:val="00C86CC5"/>
    <w:rsid w:val="00C9076B"/>
    <w:rsid w:val="00C93F18"/>
    <w:rsid w:val="00C9494D"/>
    <w:rsid w:val="00C9789A"/>
    <w:rsid w:val="00C979E6"/>
    <w:rsid w:val="00CA445B"/>
    <w:rsid w:val="00CA4A11"/>
    <w:rsid w:val="00CA4F8C"/>
    <w:rsid w:val="00CA6BBE"/>
    <w:rsid w:val="00CB227B"/>
    <w:rsid w:val="00CB22D4"/>
    <w:rsid w:val="00CB22F0"/>
    <w:rsid w:val="00CB2ED2"/>
    <w:rsid w:val="00CB2F54"/>
    <w:rsid w:val="00CB51A0"/>
    <w:rsid w:val="00CB583D"/>
    <w:rsid w:val="00CC169F"/>
    <w:rsid w:val="00CC2D6E"/>
    <w:rsid w:val="00CC3E4C"/>
    <w:rsid w:val="00CC536A"/>
    <w:rsid w:val="00CC6ECC"/>
    <w:rsid w:val="00CD73AF"/>
    <w:rsid w:val="00CD79AF"/>
    <w:rsid w:val="00CE0925"/>
    <w:rsid w:val="00CE11C2"/>
    <w:rsid w:val="00CE73B6"/>
    <w:rsid w:val="00CE77E2"/>
    <w:rsid w:val="00CF1E37"/>
    <w:rsid w:val="00CF4503"/>
    <w:rsid w:val="00D00D1E"/>
    <w:rsid w:val="00D0769B"/>
    <w:rsid w:val="00D077A8"/>
    <w:rsid w:val="00D122E7"/>
    <w:rsid w:val="00D14A6D"/>
    <w:rsid w:val="00D207D7"/>
    <w:rsid w:val="00D21F30"/>
    <w:rsid w:val="00D21F45"/>
    <w:rsid w:val="00D238E2"/>
    <w:rsid w:val="00D23E2A"/>
    <w:rsid w:val="00D27108"/>
    <w:rsid w:val="00D30DEC"/>
    <w:rsid w:val="00D319CF"/>
    <w:rsid w:val="00D32086"/>
    <w:rsid w:val="00D37408"/>
    <w:rsid w:val="00D37AC4"/>
    <w:rsid w:val="00D408B4"/>
    <w:rsid w:val="00D4181A"/>
    <w:rsid w:val="00D42075"/>
    <w:rsid w:val="00D4239A"/>
    <w:rsid w:val="00D42B77"/>
    <w:rsid w:val="00D43347"/>
    <w:rsid w:val="00D510DB"/>
    <w:rsid w:val="00D53EE7"/>
    <w:rsid w:val="00D565B8"/>
    <w:rsid w:val="00D60389"/>
    <w:rsid w:val="00D63545"/>
    <w:rsid w:val="00D63AA0"/>
    <w:rsid w:val="00D73639"/>
    <w:rsid w:val="00D82542"/>
    <w:rsid w:val="00D83D8C"/>
    <w:rsid w:val="00D912DB"/>
    <w:rsid w:val="00D96819"/>
    <w:rsid w:val="00DA1EEB"/>
    <w:rsid w:val="00DA2C44"/>
    <w:rsid w:val="00DA2F4C"/>
    <w:rsid w:val="00DA45E2"/>
    <w:rsid w:val="00DA6C69"/>
    <w:rsid w:val="00DB18EC"/>
    <w:rsid w:val="00DB340A"/>
    <w:rsid w:val="00DB6382"/>
    <w:rsid w:val="00DC198E"/>
    <w:rsid w:val="00DC4516"/>
    <w:rsid w:val="00DC6815"/>
    <w:rsid w:val="00DC73BE"/>
    <w:rsid w:val="00DC7B9C"/>
    <w:rsid w:val="00DD3843"/>
    <w:rsid w:val="00DD7D01"/>
    <w:rsid w:val="00DE18A9"/>
    <w:rsid w:val="00DE20D0"/>
    <w:rsid w:val="00DE271A"/>
    <w:rsid w:val="00DE3C89"/>
    <w:rsid w:val="00DE4C04"/>
    <w:rsid w:val="00DE5182"/>
    <w:rsid w:val="00DF6609"/>
    <w:rsid w:val="00E00435"/>
    <w:rsid w:val="00E00A20"/>
    <w:rsid w:val="00E00E5B"/>
    <w:rsid w:val="00E01A94"/>
    <w:rsid w:val="00E031BC"/>
    <w:rsid w:val="00E1409E"/>
    <w:rsid w:val="00E2249C"/>
    <w:rsid w:val="00E238CA"/>
    <w:rsid w:val="00E241B3"/>
    <w:rsid w:val="00E30162"/>
    <w:rsid w:val="00E3528E"/>
    <w:rsid w:val="00E36217"/>
    <w:rsid w:val="00E366E1"/>
    <w:rsid w:val="00E36D8D"/>
    <w:rsid w:val="00E37D31"/>
    <w:rsid w:val="00E41D57"/>
    <w:rsid w:val="00E44D1E"/>
    <w:rsid w:val="00E464D5"/>
    <w:rsid w:val="00E46E1B"/>
    <w:rsid w:val="00E51960"/>
    <w:rsid w:val="00E51C99"/>
    <w:rsid w:val="00E52B99"/>
    <w:rsid w:val="00E531C0"/>
    <w:rsid w:val="00E55216"/>
    <w:rsid w:val="00E568A1"/>
    <w:rsid w:val="00E6040E"/>
    <w:rsid w:val="00E61F66"/>
    <w:rsid w:val="00E660B6"/>
    <w:rsid w:val="00E6666E"/>
    <w:rsid w:val="00E66C65"/>
    <w:rsid w:val="00E71883"/>
    <w:rsid w:val="00E74AB9"/>
    <w:rsid w:val="00E74F8F"/>
    <w:rsid w:val="00E8223E"/>
    <w:rsid w:val="00E83807"/>
    <w:rsid w:val="00E83836"/>
    <w:rsid w:val="00E86EB5"/>
    <w:rsid w:val="00E91AC0"/>
    <w:rsid w:val="00E91E4C"/>
    <w:rsid w:val="00E93E81"/>
    <w:rsid w:val="00E957A7"/>
    <w:rsid w:val="00E957C0"/>
    <w:rsid w:val="00EA2D7C"/>
    <w:rsid w:val="00EA2F4B"/>
    <w:rsid w:val="00EA7E12"/>
    <w:rsid w:val="00EB223F"/>
    <w:rsid w:val="00EB6654"/>
    <w:rsid w:val="00EB6CAD"/>
    <w:rsid w:val="00EB7DE5"/>
    <w:rsid w:val="00EC3CBF"/>
    <w:rsid w:val="00EC594A"/>
    <w:rsid w:val="00EC6D7D"/>
    <w:rsid w:val="00ED076A"/>
    <w:rsid w:val="00ED0A40"/>
    <w:rsid w:val="00ED7A17"/>
    <w:rsid w:val="00EE231E"/>
    <w:rsid w:val="00EE6DC5"/>
    <w:rsid w:val="00EF1E56"/>
    <w:rsid w:val="00EF2ABD"/>
    <w:rsid w:val="00EF61E5"/>
    <w:rsid w:val="00EF6FA5"/>
    <w:rsid w:val="00F0007C"/>
    <w:rsid w:val="00F0024C"/>
    <w:rsid w:val="00F01C9F"/>
    <w:rsid w:val="00F05E53"/>
    <w:rsid w:val="00F06C59"/>
    <w:rsid w:val="00F1151B"/>
    <w:rsid w:val="00F21C44"/>
    <w:rsid w:val="00F2399D"/>
    <w:rsid w:val="00F24848"/>
    <w:rsid w:val="00F25E0B"/>
    <w:rsid w:val="00F324D7"/>
    <w:rsid w:val="00F34C8E"/>
    <w:rsid w:val="00F35C13"/>
    <w:rsid w:val="00F40B93"/>
    <w:rsid w:val="00F413CF"/>
    <w:rsid w:val="00F42F0F"/>
    <w:rsid w:val="00F4313F"/>
    <w:rsid w:val="00F43161"/>
    <w:rsid w:val="00F435DB"/>
    <w:rsid w:val="00F46BE1"/>
    <w:rsid w:val="00F565C9"/>
    <w:rsid w:val="00F75C66"/>
    <w:rsid w:val="00F7690C"/>
    <w:rsid w:val="00F76B21"/>
    <w:rsid w:val="00F80735"/>
    <w:rsid w:val="00F8197F"/>
    <w:rsid w:val="00F85FC6"/>
    <w:rsid w:val="00F9521A"/>
    <w:rsid w:val="00F95419"/>
    <w:rsid w:val="00FA1D96"/>
    <w:rsid w:val="00FB02F2"/>
    <w:rsid w:val="00FB275C"/>
    <w:rsid w:val="00FB4342"/>
    <w:rsid w:val="00FB488D"/>
    <w:rsid w:val="00FB5171"/>
    <w:rsid w:val="00FB5CD6"/>
    <w:rsid w:val="00FB64D5"/>
    <w:rsid w:val="00FC3680"/>
    <w:rsid w:val="00FC40D9"/>
    <w:rsid w:val="00FC5D15"/>
    <w:rsid w:val="00FD08AE"/>
    <w:rsid w:val="00FD2A46"/>
    <w:rsid w:val="00FD3F41"/>
    <w:rsid w:val="00FD62AB"/>
    <w:rsid w:val="00FD7F2D"/>
    <w:rsid w:val="00FE00BD"/>
    <w:rsid w:val="00FE2A35"/>
    <w:rsid w:val="00FE2AAE"/>
    <w:rsid w:val="00FE4E1E"/>
    <w:rsid w:val="00FE6F5A"/>
    <w:rsid w:val="00FE7B38"/>
    <w:rsid w:val="00FF0679"/>
    <w:rsid w:val="00FF0BF1"/>
    <w:rsid w:val="01004DD5"/>
    <w:rsid w:val="01349759"/>
    <w:rsid w:val="015325BE"/>
    <w:rsid w:val="01A4DA28"/>
    <w:rsid w:val="01C72C2F"/>
    <w:rsid w:val="01F1B250"/>
    <w:rsid w:val="01F939CE"/>
    <w:rsid w:val="026F07C7"/>
    <w:rsid w:val="02C94647"/>
    <w:rsid w:val="02EFC198"/>
    <w:rsid w:val="02FDECD8"/>
    <w:rsid w:val="031B5C29"/>
    <w:rsid w:val="0337B64C"/>
    <w:rsid w:val="043C20D4"/>
    <w:rsid w:val="047047F5"/>
    <w:rsid w:val="05214EA4"/>
    <w:rsid w:val="053305F3"/>
    <w:rsid w:val="05405FA0"/>
    <w:rsid w:val="056B5FFB"/>
    <w:rsid w:val="056FF719"/>
    <w:rsid w:val="05BDD416"/>
    <w:rsid w:val="05D401B0"/>
    <w:rsid w:val="05DCC186"/>
    <w:rsid w:val="05E73BD2"/>
    <w:rsid w:val="05F055AB"/>
    <w:rsid w:val="05F574EC"/>
    <w:rsid w:val="06C96E19"/>
    <w:rsid w:val="06EF08B0"/>
    <w:rsid w:val="06F64040"/>
    <w:rsid w:val="06F9D12D"/>
    <w:rsid w:val="07147AB7"/>
    <w:rsid w:val="078C260C"/>
    <w:rsid w:val="07B42660"/>
    <w:rsid w:val="07F83042"/>
    <w:rsid w:val="07FF6531"/>
    <w:rsid w:val="082436FD"/>
    <w:rsid w:val="0824A814"/>
    <w:rsid w:val="0841D7E4"/>
    <w:rsid w:val="087EE799"/>
    <w:rsid w:val="09311B3C"/>
    <w:rsid w:val="09F14601"/>
    <w:rsid w:val="0A100B75"/>
    <w:rsid w:val="0AA6BFBB"/>
    <w:rsid w:val="0ABB28A9"/>
    <w:rsid w:val="0AF4D1CE"/>
    <w:rsid w:val="0B700CD7"/>
    <w:rsid w:val="0B792F86"/>
    <w:rsid w:val="0BBBDFDF"/>
    <w:rsid w:val="0C1E5382"/>
    <w:rsid w:val="0D98D5F5"/>
    <w:rsid w:val="0DC9DABD"/>
    <w:rsid w:val="0DEBE7D6"/>
    <w:rsid w:val="0E4D3D38"/>
    <w:rsid w:val="0E7DF3FC"/>
    <w:rsid w:val="0EA3B17F"/>
    <w:rsid w:val="0EB886B0"/>
    <w:rsid w:val="0EF0CD44"/>
    <w:rsid w:val="0EF580D6"/>
    <w:rsid w:val="0F107A6D"/>
    <w:rsid w:val="0F1CE5EF"/>
    <w:rsid w:val="0F264640"/>
    <w:rsid w:val="0F5EE8B7"/>
    <w:rsid w:val="0F75F3C2"/>
    <w:rsid w:val="0FD5EA59"/>
    <w:rsid w:val="10157A9E"/>
    <w:rsid w:val="113C896F"/>
    <w:rsid w:val="11B17673"/>
    <w:rsid w:val="11B8EEEA"/>
    <w:rsid w:val="11EA02DC"/>
    <w:rsid w:val="1222AB8F"/>
    <w:rsid w:val="1231E6CD"/>
    <w:rsid w:val="124ED735"/>
    <w:rsid w:val="12742290"/>
    <w:rsid w:val="1298B51E"/>
    <w:rsid w:val="12CBF285"/>
    <w:rsid w:val="12EEEB5B"/>
    <w:rsid w:val="130384C7"/>
    <w:rsid w:val="1380673E"/>
    <w:rsid w:val="1463A2D9"/>
    <w:rsid w:val="14DD8F0C"/>
    <w:rsid w:val="14E10F5B"/>
    <w:rsid w:val="14EEBE26"/>
    <w:rsid w:val="152B7B71"/>
    <w:rsid w:val="15821561"/>
    <w:rsid w:val="158A4090"/>
    <w:rsid w:val="15BACF83"/>
    <w:rsid w:val="15F1141B"/>
    <w:rsid w:val="160E1B4C"/>
    <w:rsid w:val="1636BD2D"/>
    <w:rsid w:val="164C1CDC"/>
    <w:rsid w:val="166E111C"/>
    <w:rsid w:val="169AB5BC"/>
    <w:rsid w:val="16ACB199"/>
    <w:rsid w:val="17058720"/>
    <w:rsid w:val="1714AFBC"/>
    <w:rsid w:val="17997CF0"/>
    <w:rsid w:val="17C153EC"/>
    <w:rsid w:val="17DCF404"/>
    <w:rsid w:val="182CD065"/>
    <w:rsid w:val="18A0890A"/>
    <w:rsid w:val="18CB8147"/>
    <w:rsid w:val="18D8E78D"/>
    <w:rsid w:val="1908B8EF"/>
    <w:rsid w:val="1967A6C8"/>
    <w:rsid w:val="19A85CE1"/>
    <w:rsid w:val="19CF4B8F"/>
    <w:rsid w:val="19DD80E3"/>
    <w:rsid w:val="19E9078D"/>
    <w:rsid w:val="1A1DCB8F"/>
    <w:rsid w:val="1A1F202B"/>
    <w:rsid w:val="1A584383"/>
    <w:rsid w:val="1A72355B"/>
    <w:rsid w:val="1ABACEE9"/>
    <w:rsid w:val="1ACA4358"/>
    <w:rsid w:val="1B1D0AAB"/>
    <w:rsid w:val="1B33BDD8"/>
    <w:rsid w:val="1B3DCC99"/>
    <w:rsid w:val="1B7F15DB"/>
    <w:rsid w:val="1BE01B44"/>
    <w:rsid w:val="1C0258CF"/>
    <w:rsid w:val="1C3C7ACE"/>
    <w:rsid w:val="1C8E0DA9"/>
    <w:rsid w:val="1CC3A569"/>
    <w:rsid w:val="1CD669FB"/>
    <w:rsid w:val="1D0774D9"/>
    <w:rsid w:val="1D70C867"/>
    <w:rsid w:val="1DF0E696"/>
    <w:rsid w:val="1DF6D6C5"/>
    <w:rsid w:val="1DFF126B"/>
    <w:rsid w:val="1E37D7CD"/>
    <w:rsid w:val="1E87003C"/>
    <w:rsid w:val="1EFE8453"/>
    <w:rsid w:val="1F0B6185"/>
    <w:rsid w:val="1F3ED6EE"/>
    <w:rsid w:val="1F5E73A4"/>
    <w:rsid w:val="1F9DB47B"/>
    <w:rsid w:val="1FED48E3"/>
    <w:rsid w:val="2022DA1F"/>
    <w:rsid w:val="204AEB29"/>
    <w:rsid w:val="21287143"/>
    <w:rsid w:val="21A2B7E1"/>
    <w:rsid w:val="22A2580A"/>
    <w:rsid w:val="231FF724"/>
    <w:rsid w:val="23BAF1F3"/>
    <w:rsid w:val="242B2374"/>
    <w:rsid w:val="24F2B5EB"/>
    <w:rsid w:val="265CF1CD"/>
    <w:rsid w:val="2667624E"/>
    <w:rsid w:val="266D5B9E"/>
    <w:rsid w:val="26722C29"/>
    <w:rsid w:val="26CFFCCA"/>
    <w:rsid w:val="27757A82"/>
    <w:rsid w:val="278210FB"/>
    <w:rsid w:val="27DFD814"/>
    <w:rsid w:val="2816AAA7"/>
    <w:rsid w:val="296B61C1"/>
    <w:rsid w:val="29A9CCEB"/>
    <w:rsid w:val="29B808FA"/>
    <w:rsid w:val="29D117B9"/>
    <w:rsid w:val="29EFC855"/>
    <w:rsid w:val="29FAF541"/>
    <w:rsid w:val="2A88E2C5"/>
    <w:rsid w:val="2A9CC84C"/>
    <w:rsid w:val="2AF6E02F"/>
    <w:rsid w:val="2B72B6A1"/>
    <w:rsid w:val="2B7F4E7D"/>
    <w:rsid w:val="2BA2D1B2"/>
    <w:rsid w:val="2BCCC4CC"/>
    <w:rsid w:val="2BF59840"/>
    <w:rsid w:val="2C02F897"/>
    <w:rsid w:val="2C0864D1"/>
    <w:rsid w:val="2C4566F0"/>
    <w:rsid w:val="2CABAEEC"/>
    <w:rsid w:val="2CCDF8B2"/>
    <w:rsid w:val="2CF9120D"/>
    <w:rsid w:val="2D10CB61"/>
    <w:rsid w:val="2D1ACF67"/>
    <w:rsid w:val="2D77E701"/>
    <w:rsid w:val="2DD530A0"/>
    <w:rsid w:val="2E0CC15A"/>
    <w:rsid w:val="2E34F995"/>
    <w:rsid w:val="2E47296B"/>
    <w:rsid w:val="2EEE89C3"/>
    <w:rsid w:val="2F293AC0"/>
    <w:rsid w:val="2F30FAB9"/>
    <w:rsid w:val="2F33F69D"/>
    <w:rsid w:val="2F4FB313"/>
    <w:rsid w:val="2F636238"/>
    <w:rsid w:val="2FE34FAE"/>
    <w:rsid w:val="2FF3BFC0"/>
    <w:rsid w:val="300C4EDC"/>
    <w:rsid w:val="30826F26"/>
    <w:rsid w:val="308E1D9E"/>
    <w:rsid w:val="3148F2E9"/>
    <w:rsid w:val="3164485A"/>
    <w:rsid w:val="31EA9E8A"/>
    <w:rsid w:val="320BAB1F"/>
    <w:rsid w:val="32943553"/>
    <w:rsid w:val="32CB3C97"/>
    <w:rsid w:val="33132A90"/>
    <w:rsid w:val="33767FE1"/>
    <w:rsid w:val="33DF86B4"/>
    <w:rsid w:val="3458F94F"/>
    <w:rsid w:val="34D4BF54"/>
    <w:rsid w:val="34DD3CF9"/>
    <w:rsid w:val="34E3F124"/>
    <w:rsid w:val="35884AAE"/>
    <w:rsid w:val="35A5ABFD"/>
    <w:rsid w:val="35C196E1"/>
    <w:rsid w:val="35D55B3B"/>
    <w:rsid w:val="35EBC678"/>
    <w:rsid w:val="36529132"/>
    <w:rsid w:val="3677895D"/>
    <w:rsid w:val="36FC7F0D"/>
    <w:rsid w:val="370CB3BB"/>
    <w:rsid w:val="371B4AF5"/>
    <w:rsid w:val="37BBCD0E"/>
    <w:rsid w:val="3837CDA7"/>
    <w:rsid w:val="393A1974"/>
    <w:rsid w:val="39505A0E"/>
    <w:rsid w:val="395340EC"/>
    <w:rsid w:val="39577C66"/>
    <w:rsid w:val="39820129"/>
    <w:rsid w:val="39A9B525"/>
    <w:rsid w:val="39B2D50A"/>
    <w:rsid w:val="3A0257EE"/>
    <w:rsid w:val="3B0609AA"/>
    <w:rsid w:val="3B1A167B"/>
    <w:rsid w:val="3B6AAEF0"/>
    <w:rsid w:val="3B8D5D83"/>
    <w:rsid w:val="3B8E57E7"/>
    <w:rsid w:val="3BA2D2B7"/>
    <w:rsid w:val="3BD548CF"/>
    <w:rsid w:val="3C2750EE"/>
    <w:rsid w:val="3C317149"/>
    <w:rsid w:val="3C5DA9BC"/>
    <w:rsid w:val="3C698118"/>
    <w:rsid w:val="3C7C26CF"/>
    <w:rsid w:val="3C949586"/>
    <w:rsid w:val="3CBEDB53"/>
    <w:rsid w:val="3CCCDB54"/>
    <w:rsid w:val="3D306D28"/>
    <w:rsid w:val="3D3F3925"/>
    <w:rsid w:val="3D445917"/>
    <w:rsid w:val="3D7F2E96"/>
    <w:rsid w:val="3E2A9446"/>
    <w:rsid w:val="3E51967A"/>
    <w:rsid w:val="3E71AB0D"/>
    <w:rsid w:val="3E7D2EBD"/>
    <w:rsid w:val="3EB2E700"/>
    <w:rsid w:val="3F36B481"/>
    <w:rsid w:val="3F48A596"/>
    <w:rsid w:val="3F57A72D"/>
    <w:rsid w:val="3F700994"/>
    <w:rsid w:val="3F9D6568"/>
    <w:rsid w:val="3FE4E90D"/>
    <w:rsid w:val="4071763B"/>
    <w:rsid w:val="41951EFE"/>
    <w:rsid w:val="41F2C5F6"/>
    <w:rsid w:val="423A18AA"/>
    <w:rsid w:val="424AD988"/>
    <w:rsid w:val="42AA962A"/>
    <w:rsid w:val="42CD64A2"/>
    <w:rsid w:val="42E3B7D7"/>
    <w:rsid w:val="42F061FA"/>
    <w:rsid w:val="430AC3DF"/>
    <w:rsid w:val="43910036"/>
    <w:rsid w:val="43A339A6"/>
    <w:rsid w:val="43C5C76C"/>
    <w:rsid w:val="447941D7"/>
    <w:rsid w:val="447C9A28"/>
    <w:rsid w:val="44CFFA5A"/>
    <w:rsid w:val="451F8EC2"/>
    <w:rsid w:val="454FD244"/>
    <w:rsid w:val="4562E00C"/>
    <w:rsid w:val="45DB054D"/>
    <w:rsid w:val="46224F6F"/>
    <w:rsid w:val="46BE3C87"/>
    <w:rsid w:val="46BE8016"/>
    <w:rsid w:val="46DFC2FD"/>
    <w:rsid w:val="47233F39"/>
    <w:rsid w:val="476B7489"/>
    <w:rsid w:val="478BA8CB"/>
    <w:rsid w:val="484CFEA6"/>
    <w:rsid w:val="48CAA510"/>
    <w:rsid w:val="4962C6BB"/>
    <w:rsid w:val="498F1AE7"/>
    <w:rsid w:val="4AC82801"/>
    <w:rsid w:val="4B72DC70"/>
    <w:rsid w:val="4C3C5B4C"/>
    <w:rsid w:val="4C7C21E6"/>
    <w:rsid w:val="4C9CB03F"/>
    <w:rsid w:val="4CB6E76C"/>
    <w:rsid w:val="4D6827C6"/>
    <w:rsid w:val="4D6E0A34"/>
    <w:rsid w:val="4D8A3252"/>
    <w:rsid w:val="4DF481B3"/>
    <w:rsid w:val="4E658044"/>
    <w:rsid w:val="4E8FBC5D"/>
    <w:rsid w:val="4EDAF876"/>
    <w:rsid w:val="4EF36BF9"/>
    <w:rsid w:val="4F0F205C"/>
    <w:rsid w:val="4F26D794"/>
    <w:rsid w:val="4F54C5D1"/>
    <w:rsid w:val="4FE3AAE2"/>
    <w:rsid w:val="5023F702"/>
    <w:rsid w:val="512B027A"/>
    <w:rsid w:val="514EBC3E"/>
    <w:rsid w:val="51A5F595"/>
    <w:rsid w:val="51C75D1F"/>
    <w:rsid w:val="52CCEB04"/>
    <w:rsid w:val="52F4DAB3"/>
    <w:rsid w:val="53EF3457"/>
    <w:rsid w:val="541477CB"/>
    <w:rsid w:val="542CFD1D"/>
    <w:rsid w:val="54A2575E"/>
    <w:rsid w:val="54A411A9"/>
    <w:rsid w:val="54B729B8"/>
    <w:rsid w:val="5513804D"/>
    <w:rsid w:val="5580F482"/>
    <w:rsid w:val="558904C9"/>
    <w:rsid w:val="55C71B59"/>
    <w:rsid w:val="55E66B3B"/>
    <w:rsid w:val="56B77FEB"/>
    <w:rsid w:val="57D87DCC"/>
    <w:rsid w:val="5804741D"/>
    <w:rsid w:val="586994A8"/>
    <w:rsid w:val="58890054"/>
    <w:rsid w:val="590FEE42"/>
    <w:rsid w:val="59629219"/>
    <w:rsid w:val="59653893"/>
    <w:rsid w:val="5970D8CD"/>
    <w:rsid w:val="59925914"/>
    <w:rsid w:val="59A13B45"/>
    <w:rsid w:val="59DD9866"/>
    <w:rsid w:val="5A35060E"/>
    <w:rsid w:val="5AB17587"/>
    <w:rsid w:val="5AF3DCC0"/>
    <w:rsid w:val="5AFDDB4B"/>
    <w:rsid w:val="5BBD8B14"/>
    <w:rsid w:val="5C196292"/>
    <w:rsid w:val="5C49229B"/>
    <w:rsid w:val="5CC0944B"/>
    <w:rsid w:val="5D21BF9A"/>
    <w:rsid w:val="5D2F6BEA"/>
    <w:rsid w:val="5DADD340"/>
    <w:rsid w:val="5E257DFE"/>
    <w:rsid w:val="5E35451F"/>
    <w:rsid w:val="5F5440D4"/>
    <w:rsid w:val="5F920D5E"/>
    <w:rsid w:val="5FD0A6C7"/>
    <w:rsid w:val="6015146D"/>
    <w:rsid w:val="60C28C5B"/>
    <w:rsid w:val="60E97354"/>
    <w:rsid w:val="61070280"/>
    <w:rsid w:val="614B5546"/>
    <w:rsid w:val="6210330A"/>
    <w:rsid w:val="621BB8DF"/>
    <w:rsid w:val="62405169"/>
    <w:rsid w:val="625611E2"/>
    <w:rsid w:val="62EAFF76"/>
    <w:rsid w:val="635B5B75"/>
    <w:rsid w:val="63F74424"/>
    <w:rsid w:val="641469A4"/>
    <w:rsid w:val="647ACBE7"/>
    <w:rsid w:val="65172EEC"/>
    <w:rsid w:val="652ECF16"/>
    <w:rsid w:val="6545B00E"/>
    <w:rsid w:val="655E8487"/>
    <w:rsid w:val="655EFF59"/>
    <w:rsid w:val="65BCE477"/>
    <w:rsid w:val="65EFC077"/>
    <w:rsid w:val="66CC422D"/>
    <w:rsid w:val="66E85D01"/>
    <w:rsid w:val="670D4CF8"/>
    <w:rsid w:val="675C43E2"/>
    <w:rsid w:val="6781D96C"/>
    <w:rsid w:val="67F3948E"/>
    <w:rsid w:val="68122081"/>
    <w:rsid w:val="68147272"/>
    <w:rsid w:val="68485A6C"/>
    <w:rsid w:val="68741629"/>
    <w:rsid w:val="6908A46A"/>
    <w:rsid w:val="6957BEEF"/>
    <w:rsid w:val="6966ED61"/>
    <w:rsid w:val="69CD7D6A"/>
    <w:rsid w:val="6BB51880"/>
    <w:rsid w:val="6C300B40"/>
    <w:rsid w:val="6C4E934C"/>
    <w:rsid w:val="6CCACB18"/>
    <w:rsid w:val="6CD39EAF"/>
    <w:rsid w:val="6D5329F0"/>
    <w:rsid w:val="6E8B1BD4"/>
    <w:rsid w:val="6EF7C263"/>
    <w:rsid w:val="6F0992C2"/>
    <w:rsid w:val="6FC65367"/>
    <w:rsid w:val="703C4C6F"/>
    <w:rsid w:val="70FD0DCA"/>
    <w:rsid w:val="7100840B"/>
    <w:rsid w:val="71AF2C70"/>
    <w:rsid w:val="71C60ECA"/>
    <w:rsid w:val="71EE2A10"/>
    <w:rsid w:val="7202D142"/>
    <w:rsid w:val="72605CB6"/>
    <w:rsid w:val="7280C414"/>
    <w:rsid w:val="72A9A28D"/>
    <w:rsid w:val="72B51B22"/>
    <w:rsid w:val="72BABE5F"/>
    <w:rsid w:val="72C5399D"/>
    <w:rsid w:val="72F0694E"/>
    <w:rsid w:val="732F3524"/>
    <w:rsid w:val="734D4B01"/>
    <w:rsid w:val="74A78920"/>
    <w:rsid w:val="74B4E21A"/>
    <w:rsid w:val="752F33AC"/>
    <w:rsid w:val="75746A49"/>
    <w:rsid w:val="75D672B4"/>
    <w:rsid w:val="75D843B4"/>
    <w:rsid w:val="76165BFF"/>
    <w:rsid w:val="7624E88C"/>
    <w:rsid w:val="764FBDB9"/>
    <w:rsid w:val="7650B27B"/>
    <w:rsid w:val="7657B1EB"/>
    <w:rsid w:val="766A554B"/>
    <w:rsid w:val="76B1E988"/>
    <w:rsid w:val="76D277BF"/>
    <w:rsid w:val="76E8D104"/>
    <w:rsid w:val="7737F126"/>
    <w:rsid w:val="7785790F"/>
    <w:rsid w:val="778E9DBE"/>
    <w:rsid w:val="77ACBEA8"/>
    <w:rsid w:val="787B4773"/>
    <w:rsid w:val="78D4EF79"/>
    <w:rsid w:val="7A2D129B"/>
    <w:rsid w:val="7A7B0B43"/>
    <w:rsid w:val="7A9E9F13"/>
    <w:rsid w:val="7B08357F"/>
    <w:rsid w:val="7BE62063"/>
    <w:rsid w:val="7BF62B63"/>
    <w:rsid w:val="7BFB3FF8"/>
    <w:rsid w:val="7BFB4D9C"/>
    <w:rsid w:val="7C0FEB38"/>
    <w:rsid w:val="7C3E5540"/>
    <w:rsid w:val="7CEB9BAF"/>
    <w:rsid w:val="7D40ACA8"/>
    <w:rsid w:val="7D4A1FA2"/>
    <w:rsid w:val="7DA30F5D"/>
    <w:rsid w:val="7DCF37FE"/>
    <w:rsid w:val="7E1CCCB2"/>
    <w:rsid w:val="7E2D0E4E"/>
    <w:rsid w:val="7E460A47"/>
    <w:rsid w:val="7F322177"/>
    <w:rsid w:val="7F3EDFBE"/>
    <w:rsid w:val="7F69E0DF"/>
    <w:rsid w:val="7F877F84"/>
    <w:rsid w:val="7FDD77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E06"/>
    <w:pPr>
      <w:jc w:val="both"/>
    </w:pPr>
    <w:rPr>
      <w:rFonts w:ascii="Arial" w:hAnsi="Arial"/>
      <w:sz w:val="20"/>
    </w:rPr>
  </w:style>
  <w:style w:type="paragraph" w:styleId="Titre1">
    <w:name w:val="heading 1"/>
    <w:aliases w:val="Articles"/>
    <w:basedOn w:val="Article"/>
    <w:next w:val="Normal"/>
    <w:link w:val="Titre1Car"/>
    <w:uiPriority w:val="9"/>
    <w:qFormat/>
    <w:rsid w:val="00A37B7D"/>
    <w:pPr>
      <w:keepNext/>
      <w:keepLines/>
      <w:numPr>
        <w:numId w:val="9"/>
      </w:numPr>
      <w:spacing w:before="160"/>
      <w:outlineLvl w:val="0"/>
    </w:pPr>
    <w:rPr>
      <w:rFonts w:eastAsiaTheme="majorEastAsia" w:cstheme="majorBidi"/>
      <w:szCs w:val="32"/>
    </w:rPr>
  </w:style>
  <w:style w:type="paragraph" w:styleId="Titre2">
    <w:name w:val="heading 2"/>
    <w:aliases w:val="Sous-articles"/>
    <w:basedOn w:val="Sous-article"/>
    <w:next w:val="Soussousarticle"/>
    <w:link w:val="Titre2Car"/>
    <w:uiPriority w:val="9"/>
    <w:unhideWhenUsed/>
    <w:qFormat/>
    <w:rsid w:val="00C75F24"/>
    <w:pPr>
      <w:keepNext/>
      <w:keepLines/>
      <w:numPr>
        <w:ilvl w:val="1"/>
        <w:numId w:val="9"/>
      </w:numPr>
      <w:spacing w:before="160"/>
      <w:ind w:left="0" w:firstLine="993"/>
      <w:outlineLvl w:val="1"/>
    </w:pPr>
    <w:rPr>
      <w:rFonts w:eastAsia="Arial" w:cstheme="majorBidi"/>
    </w:rPr>
  </w:style>
  <w:style w:type="paragraph" w:styleId="Titre3">
    <w:name w:val="heading 3"/>
    <w:aliases w:val="Sous-sous-articles"/>
    <w:basedOn w:val="Soussousarticle"/>
    <w:next w:val="Normal"/>
    <w:link w:val="Titre3Car"/>
    <w:uiPriority w:val="9"/>
    <w:unhideWhenUsed/>
    <w:qFormat/>
    <w:rsid w:val="0052665B"/>
    <w:pPr>
      <w:keepNext/>
      <w:keepLines/>
      <w:numPr>
        <w:ilvl w:val="2"/>
        <w:numId w:val="9"/>
      </w:numPr>
      <w:spacing w:before="160"/>
      <w:ind w:left="0" w:firstLine="1134"/>
      <w:outlineLvl w:val="2"/>
    </w:pPr>
    <w:rPr>
      <w:rFonts w:eastAsiaTheme="majorEastAsia" w:cstheme="majorBidi"/>
      <w:szCs w:val="24"/>
    </w:rPr>
  </w:style>
  <w:style w:type="paragraph" w:styleId="Titre4">
    <w:name w:val="heading 4"/>
    <w:basedOn w:val="Normal"/>
    <w:next w:val="Normal"/>
    <w:link w:val="Titre4Car"/>
    <w:uiPriority w:val="9"/>
    <w:semiHidden/>
    <w:unhideWhenUsed/>
    <w:qFormat/>
    <w:rsid w:val="00043666"/>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43666"/>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43666"/>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43666"/>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4366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4366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autoRedefine/>
    <w:rsid w:val="00C25839"/>
    <w:pPr>
      <w:shd w:val="clear" w:color="auto" w:fill="E2EFD9" w:themeFill="accent6" w:themeFillTint="33"/>
    </w:pPr>
    <w:rPr>
      <w:rFonts w:cs="Arial"/>
      <w:b/>
      <w:sz w:val="22"/>
    </w:rPr>
  </w:style>
  <w:style w:type="paragraph" w:customStyle="1" w:styleId="Sous-article">
    <w:name w:val="Sous-article"/>
    <w:basedOn w:val="Normal"/>
    <w:link w:val="Sous-articleCar"/>
    <w:rsid w:val="00027529"/>
    <w:pPr>
      <w:shd w:val="clear" w:color="auto" w:fill="E2EFD9" w:themeFill="accent6" w:themeFillTint="33"/>
      <w:ind w:firstLine="708"/>
    </w:pPr>
    <w:rPr>
      <w:rFonts w:cs="Arial"/>
      <w:b/>
      <w:sz w:val="22"/>
    </w:rPr>
  </w:style>
  <w:style w:type="character" w:customStyle="1" w:styleId="ArticleCar">
    <w:name w:val="Article Car"/>
    <w:basedOn w:val="Policepardfaut"/>
    <w:link w:val="Article"/>
    <w:rsid w:val="00C25839"/>
    <w:rPr>
      <w:rFonts w:ascii="Arial" w:hAnsi="Arial" w:cs="Arial"/>
      <w:b/>
      <w:shd w:val="clear" w:color="auto" w:fill="E2EFD9" w:themeFill="accent6" w:themeFillTint="33"/>
    </w:rPr>
  </w:style>
  <w:style w:type="character" w:customStyle="1" w:styleId="Titre1Car">
    <w:name w:val="Titre 1 Car"/>
    <w:aliases w:val="Articles Car"/>
    <w:basedOn w:val="Policepardfaut"/>
    <w:link w:val="Titre1"/>
    <w:uiPriority w:val="9"/>
    <w:rsid w:val="00A37B7D"/>
    <w:rPr>
      <w:rFonts w:ascii="Arial" w:eastAsiaTheme="majorEastAsia" w:hAnsi="Arial" w:cstheme="majorBidi"/>
      <w:b/>
      <w:szCs w:val="32"/>
      <w:shd w:val="clear" w:color="auto" w:fill="E2EFD9" w:themeFill="accent6" w:themeFillTint="33"/>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aliases w:val="Sous-articles Car"/>
    <w:basedOn w:val="Policepardfaut"/>
    <w:link w:val="Titre2"/>
    <w:uiPriority w:val="9"/>
    <w:rsid w:val="00C75F24"/>
    <w:rPr>
      <w:rFonts w:ascii="Arial" w:eastAsia="Arial" w:hAnsi="Arial" w:cstheme="majorBidi"/>
      <w:b/>
      <w:shd w:val="clear" w:color="auto" w:fill="E2EFD9" w:themeFill="accent6" w:themeFillTint="33"/>
    </w:rPr>
  </w:style>
  <w:style w:type="paragraph" w:styleId="TM1">
    <w:name w:val="toc 1"/>
    <w:basedOn w:val="Normal"/>
    <w:next w:val="Normal"/>
    <w:autoRedefine/>
    <w:uiPriority w:val="39"/>
    <w:unhideWhenUsed/>
    <w:rsid w:val="007C0978"/>
    <w:pPr>
      <w:tabs>
        <w:tab w:val="right" w:leader="underscore" w:pos="9062"/>
      </w:tabs>
      <w:spacing w:after="100"/>
    </w:pPr>
  </w:style>
  <w:style w:type="paragraph" w:styleId="TM2">
    <w:name w:val="toc 2"/>
    <w:basedOn w:val="Normal"/>
    <w:next w:val="Normal"/>
    <w:autoRedefine/>
    <w:uiPriority w:val="39"/>
    <w:unhideWhenUsed/>
    <w:rsid w:val="00935DA4"/>
    <w:pPr>
      <w:tabs>
        <w:tab w:val="right" w:leader="dot" w:pos="9062"/>
      </w:tabs>
      <w:spacing w:after="100"/>
      <w:ind w:left="567"/>
    </w:pPr>
    <w:rPr>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pPr>
    <w:rPr>
      <w:rFonts w:eastAsia="Times New Roman"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rsid w:val="00073F5E"/>
    <w:pPr>
      <w:shd w:val="clear" w:color="auto" w:fill="D9D9D9" w:themeFill="background1" w:themeFillShade="D9"/>
      <w:spacing w:before="120"/>
      <w:ind w:firstLine="1134"/>
    </w:pPr>
    <w:rPr>
      <w:rFonts w:cs="Arial"/>
      <w:b/>
      <w:bCs/>
      <w:iCs/>
    </w:rPr>
  </w:style>
  <w:style w:type="character" w:customStyle="1" w:styleId="SoussousarticleCar">
    <w:name w:val="Sous sous article Car"/>
    <w:basedOn w:val="Policepardfaut"/>
    <w:link w:val="Soussousarticle"/>
    <w:rsid w:val="00073F5E"/>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aliases w:val="Sous-sous-articles Car"/>
    <w:basedOn w:val="Policepardfaut"/>
    <w:link w:val="Titre3"/>
    <w:uiPriority w:val="9"/>
    <w:rsid w:val="0052665B"/>
    <w:rPr>
      <w:rFonts w:ascii="Arial" w:eastAsiaTheme="majorEastAsia" w:hAnsi="Arial" w:cstheme="majorBidi"/>
      <w:b/>
      <w:bCs/>
      <w:iCs/>
      <w:sz w:val="20"/>
      <w:szCs w:val="24"/>
      <w:shd w:val="clear" w:color="auto" w:fill="D9D9D9" w:themeFill="background1" w:themeFillShade="D9"/>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nhideWhenUsed/>
    <w:rsid w:val="009C574E"/>
    <w:pPr>
      <w:tabs>
        <w:tab w:val="center" w:pos="4536"/>
        <w:tab w:val="right" w:pos="9072"/>
      </w:tabs>
      <w:spacing w:after="0" w:line="240" w:lineRule="auto"/>
    </w:pPr>
  </w:style>
  <w:style w:type="character" w:customStyle="1" w:styleId="En-tteCar">
    <w:name w:val="En-tête Car"/>
    <w:basedOn w:val="Policepardfaut"/>
    <w:link w:val="En-tte"/>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935DA4"/>
    <w:pPr>
      <w:tabs>
        <w:tab w:val="right" w:leader="dot" w:pos="9062"/>
      </w:tabs>
      <w:spacing w:after="100"/>
      <w:ind w:left="1134"/>
    </w:pPr>
    <w:rPr>
      <w:noProof/>
    </w:rPr>
  </w:style>
  <w:style w:type="character" w:customStyle="1" w:styleId="Titre4Car">
    <w:name w:val="Titre 4 Car"/>
    <w:basedOn w:val="Policepardfaut"/>
    <w:link w:val="Titre4"/>
    <w:uiPriority w:val="9"/>
    <w:semiHidden/>
    <w:rsid w:val="00043666"/>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semiHidden/>
    <w:rsid w:val="00043666"/>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04366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04366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04366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43666"/>
    <w:rPr>
      <w:rFonts w:asciiTheme="majorHAnsi" w:eastAsiaTheme="majorEastAsia" w:hAnsiTheme="majorHAnsi" w:cstheme="majorBidi"/>
      <w:i/>
      <w:iCs/>
      <w:color w:val="272727" w:themeColor="text1" w:themeTint="D8"/>
      <w:sz w:val="21"/>
      <w:szCs w:val="21"/>
    </w:rPr>
  </w:style>
  <w:style w:type="paragraph" w:styleId="Titre">
    <w:name w:val="Title"/>
    <w:basedOn w:val="Normal"/>
    <w:link w:val="TitreCar"/>
    <w:qFormat/>
    <w:rsid w:val="0076684F"/>
    <w:pPr>
      <w:overflowPunct w:val="0"/>
      <w:autoSpaceDE w:val="0"/>
      <w:autoSpaceDN w:val="0"/>
      <w:adjustRightInd w:val="0"/>
      <w:spacing w:after="0" w:line="240" w:lineRule="auto"/>
      <w:jc w:val="center"/>
      <w:textAlignment w:val="baseline"/>
    </w:pPr>
    <w:rPr>
      <w:rFonts w:eastAsia="Times New Roman" w:cs="Times New Roman"/>
      <w:b/>
      <w:bCs/>
      <w:sz w:val="36"/>
      <w:szCs w:val="20"/>
      <w:lang w:eastAsia="fr-FR"/>
    </w:rPr>
  </w:style>
  <w:style w:type="character" w:customStyle="1" w:styleId="TitreCar">
    <w:name w:val="Titre Car"/>
    <w:basedOn w:val="Policepardfaut"/>
    <w:link w:val="Titre"/>
    <w:rsid w:val="0076684F"/>
    <w:rPr>
      <w:rFonts w:ascii="Arial" w:eastAsia="Times New Roman" w:hAnsi="Arial" w:cs="Times New Roman"/>
      <w:b/>
      <w:bCs/>
      <w:sz w:val="36"/>
      <w:szCs w:val="20"/>
      <w:lang w:eastAsia="fr-FR"/>
    </w:rPr>
  </w:style>
  <w:style w:type="paragraph" w:styleId="Corpsdetexte">
    <w:name w:val="Body Text"/>
    <w:basedOn w:val="Normal"/>
    <w:link w:val="CorpsdetexteCar"/>
    <w:uiPriority w:val="99"/>
    <w:rsid w:val="0076684F"/>
    <w:pPr>
      <w:spacing w:after="0" w:line="240" w:lineRule="auto"/>
    </w:pPr>
    <w:rPr>
      <w:rFonts w:eastAsia="Times New Roman" w:cs="Arial"/>
      <w:sz w:val="22"/>
      <w:szCs w:val="20"/>
      <w:lang w:eastAsia="fr-FR"/>
    </w:rPr>
  </w:style>
  <w:style w:type="character" w:customStyle="1" w:styleId="CorpsdetexteCar">
    <w:name w:val="Corps de texte Car"/>
    <w:basedOn w:val="Policepardfaut"/>
    <w:link w:val="Corpsdetexte"/>
    <w:uiPriority w:val="99"/>
    <w:rsid w:val="0076684F"/>
    <w:rPr>
      <w:rFonts w:ascii="Arial" w:eastAsia="Times New Roman" w:hAnsi="Arial" w:cs="Arial"/>
      <w:szCs w:val="20"/>
      <w:lang w:eastAsia="fr-FR"/>
    </w:rPr>
  </w:style>
  <w:style w:type="paragraph" w:styleId="NormalWeb">
    <w:name w:val="Normal (Web)"/>
    <w:basedOn w:val="Normal"/>
    <w:uiPriority w:val="99"/>
    <w:unhideWhenUsed/>
    <w:rsid w:val="0076684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semiHidden/>
    <w:rsid w:val="000E3E94"/>
    <w:rPr>
      <w:color w:val="808080"/>
    </w:rPr>
  </w:style>
  <w:style w:type="paragraph" w:customStyle="1" w:styleId="Car1Car">
    <w:name w:val="Car1 Car"/>
    <w:basedOn w:val="Normal"/>
    <w:rsid w:val="00BF0D21"/>
    <w:pPr>
      <w:spacing w:line="240" w:lineRule="exact"/>
    </w:pPr>
    <w:rPr>
      <w:rFonts w:ascii="Verdana" w:eastAsia="Times New Roman" w:hAnsi="Verdana" w:cs="Verdana"/>
      <w:szCs w:val="20"/>
      <w:lang w:val="en-US"/>
    </w:rPr>
  </w:style>
  <w:style w:type="paragraph" w:styleId="Retraitcorpsdetexte">
    <w:name w:val="Body Text Indent"/>
    <w:basedOn w:val="Normal"/>
    <w:link w:val="RetraitcorpsdetexteCar"/>
    <w:uiPriority w:val="99"/>
    <w:unhideWhenUsed/>
    <w:rsid w:val="00BF54A0"/>
    <w:pPr>
      <w:spacing w:after="120" w:line="240" w:lineRule="auto"/>
      <w:ind w:left="283"/>
      <w:jc w:val="left"/>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BF54A0"/>
    <w:rPr>
      <w:rFonts w:ascii="Times New Roman" w:eastAsia="Times New Roman" w:hAnsi="Times New Roman" w:cs="Times New Roman"/>
      <w:sz w:val="24"/>
      <w:szCs w:val="24"/>
      <w:lang w:eastAsia="fr-FR"/>
    </w:rPr>
  </w:style>
  <w:style w:type="paragraph" w:customStyle="1" w:styleId="RedTxt">
    <w:name w:val="RedTxt"/>
    <w:basedOn w:val="Normal"/>
    <w:link w:val="RedTxtCar"/>
    <w:rsid w:val="00493BFB"/>
    <w:pPr>
      <w:autoSpaceDE w:val="0"/>
      <w:autoSpaceDN w:val="0"/>
      <w:spacing w:after="0" w:line="240" w:lineRule="auto"/>
    </w:pPr>
    <w:rPr>
      <w:rFonts w:eastAsia="Times New Roman" w:cs="Arial"/>
      <w:sz w:val="22"/>
      <w:lang w:eastAsia="fr-FR"/>
    </w:rPr>
  </w:style>
  <w:style w:type="character" w:customStyle="1" w:styleId="RedTxtCar">
    <w:name w:val="RedTxt Car"/>
    <w:link w:val="RedTxt"/>
    <w:locked/>
    <w:rsid w:val="00493BFB"/>
    <w:rPr>
      <w:rFonts w:ascii="Arial" w:eastAsia="Times New Roman" w:hAnsi="Arial" w:cs="Arial"/>
      <w:lang w:eastAsia="fr-FR"/>
    </w:rPr>
  </w:style>
  <w:style w:type="paragraph" w:customStyle="1" w:styleId="Car1Car0">
    <w:name w:val="Car1 Car0"/>
    <w:basedOn w:val="Normal"/>
    <w:rsid w:val="00F324D7"/>
    <w:pPr>
      <w:spacing w:line="240" w:lineRule="exact"/>
    </w:pPr>
    <w:rPr>
      <w:rFonts w:ascii="Verdana" w:eastAsia="Times New Roman" w:hAnsi="Verdana" w:cs="Verdana"/>
      <w:szCs w:val="20"/>
      <w:lang w:val="en-US"/>
    </w:rPr>
  </w:style>
  <w:style w:type="paragraph" w:customStyle="1" w:styleId="Car1Car1">
    <w:name w:val="Car1 Car1"/>
    <w:basedOn w:val="Normal"/>
    <w:rsid w:val="00994FF4"/>
    <w:pPr>
      <w:spacing w:line="240" w:lineRule="exact"/>
    </w:pPr>
    <w:rPr>
      <w:rFonts w:ascii="Verdana" w:eastAsia="Times New Roman" w:hAnsi="Verdana" w:cs="Verdana"/>
      <w:szCs w:val="20"/>
      <w:lang w:val="en-US"/>
    </w:rPr>
  </w:style>
  <w:style w:type="paragraph" w:customStyle="1" w:styleId="Normal1">
    <w:name w:val="Normal1"/>
    <w:basedOn w:val="Normal"/>
    <w:rsid w:val="000032FA"/>
    <w:pPr>
      <w:keepLines/>
      <w:tabs>
        <w:tab w:val="left" w:pos="284"/>
        <w:tab w:val="left" w:pos="567"/>
        <w:tab w:val="left" w:pos="851"/>
      </w:tabs>
      <w:spacing w:after="0" w:line="240" w:lineRule="auto"/>
      <w:ind w:firstLine="284"/>
    </w:pPr>
    <w:rPr>
      <w:rFonts w:eastAsia="Times New Roman" w:cs="Arial"/>
      <w:lang w:eastAsia="fr-FR"/>
    </w:rPr>
  </w:style>
  <w:style w:type="character" w:styleId="Mentionnonrsolue">
    <w:name w:val="Unresolved Mention"/>
    <w:basedOn w:val="Policepardfaut"/>
    <w:uiPriority w:val="99"/>
    <w:semiHidden/>
    <w:unhideWhenUsed/>
    <w:rsid w:val="007E3950"/>
    <w:rPr>
      <w:color w:val="605E5C"/>
      <w:shd w:val="clear" w:color="auto" w:fill="E1DFDD"/>
    </w:rPr>
  </w:style>
  <w:style w:type="paragraph" w:styleId="Notedebasdepage">
    <w:name w:val="footnote text"/>
    <w:basedOn w:val="Normal"/>
    <w:link w:val="NotedebasdepageCar"/>
    <w:uiPriority w:val="99"/>
    <w:semiHidden/>
    <w:unhideWhenUsed/>
    <w:rsid w:val="000E7995"/>
    <w:pPr>
      <w:spacing w:after="0" w:line="240" w:lineRule="auto"/>
    </w:pPr>
    <w:rPr>
      <w:szCs w:val="20"/>
    </w:rPr>
  </w:style>
  <w:style w:type="character" w:customStyle="1" w:styleId="NotedebasdepageCar">
    <w:name w:val="Note de bas de page Car"/>
    <w:basedOn w:val="Policepardfaut"/>
    <w:link w:val="Notedebasdepage"/>
    <w:uiPriority w:val="99"/>
    <w:semiHidden/>
    <w:rsid w:val="000E7995"/>
    <w:rPr>
      <w:rFonts w:ascii="Arial" w:hAnsi="Arial"/>
      <w:sz w:val="20"/>
      <w:szCs w:val="20"/>
    </w:rPr>
  </w:style>
  <w:style w:type="character" w:styleId="Appelnotedebasdep">
    <w:name w:val="footnote reference"/>
    <w:basedOn w:val="Policepardfaut"/>
    <w:uiPriority w:val="99"/>
    <w:semiHidden/>
    <w:unhideWhenUsed/>
    <w:rsid w:val="000E79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6134">
      <w:bodyDiv w:val="1"/>
      <w:marLeft w:val="0"/>
      <w:marRight w:val="0"/>
      <w:marTop w:val="0"/>
      <w:marBottom w:val="0"/>
      <w:divBdr>
        <w:top w:val="none" w:sz="0" w:space="0" w:color="auto"/>
        <w:left w:val="none" w:sz="0" w:space="0" w:color="auto"/>
        <w:bottom w:val="none" w:sz="0" w:space="0" w:color="auto"/>
        <w:right w:val="none" w:sz="0" w:space="0" w:color="auto"/>
      </w:divBdr>
    </w:div>
    <w:div w:id="554657478">
      <w:bodyDiv w:val="1"/>
      <w:marLeft w:val="0"/>
      <w:marRight w:val="0"/>
      <w:marTop w:val="0"/>
      <w:marBottom w:val="0"/>
      <w:divBdr>
        <w:top w:val="none" w:sz="0" w:space="0" w:color="auto"/>
        <w:left w:val="none" w:sz="0" w:space="0" w:color="auto"/>
        <w:bottom w:val="none" w:sz="0" w:space="0" w:color="auto"/>
        <w:right w:val="none" w:sz="0" w:space="0" w:color="auto"/>
      </w:divBdr>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276671468">
      <w:bodyDiv w:val="1"/>
      <w:marLeft w:val="0"/>
      <w:marRight w:val="0"/>
      <w:marTop w:val="0"/>
      <w:marBottom w:val="0"/>
      <w:divBdr>
        <w:top w:val="none" w:sz="0" w:space="0" w:color="auto"/>
        <w:left w:val="none" w:sz="0" w:space="0" w:color="auto"/>
        <w:bottom w:val="none" w:sz="0" w:space="0" w:color="auto"/>
        <w:right w:val="none" w:sz="0" w:space="0" w:color="auto"/>
      </w:divBdr>
    </w:div>
    <w:div w:id="1585800144">
      <w:bodyDiv w:val="1"/>
      <w:marLeft w:val="0"/>
      <w:marRight w:val="0"/>
      <w:marTop w:val="0"/>
      <w:marBottom w:val="0"/>
      <w:divBdr>
        <w:top w:val="none" w:sz="0" w:space="0" w:color="auto"/>
        <w:left w:val="none" w:sz="0" w:space="0" w:color="auto"/>
        <w:bottom w:val="none" w:sz="0" w:space="0" w:color="auto"/>
        <w:right w:val="none" w:sz="0" w:space="0" w:color="auto"/>
      </w:divBdr>
    </w:div>
    <w:div w:id="1719284434">
      <w:bodyDiv w:val="1"/>
      <w:marLeft w:val="0"/>
      <w:marRight w:val="0"/>
      <w:marTop w:val="0"/>
      <w:marBottom w:val="0"/>
      <w:divBdr>
        <w:top w:val="none" w:sz="0" w:space="0" w:color="auto"/>
        <w:left w:val="none" w:sz="0" w:space="0" w:color="auto"/>
        <w:bottom w:val="none" w:sz="0" w:space="0" w:color="auto"/>
        <w:right w:val="none" w:sz="0" w:space="0" w:color="auto"/>
      </w:divBdr>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 w:id="207585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dumazet@matte.fr" TargetMode="External"/><Relationship Id="rId3" Type="http://schemas.openxmlformats.org/officeDocument/2006/relationships/customXml" Target="../customXml/item3.xml"/><Relationship Id="rId21" Type="http://schemas.openxmlformats.org/officeDocument/2006/relationships/hyperlink" Target="https://www.e-attestations.co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abrina.chesnais@inserm.fr" TargetMode="External"/><Relationship Id="rId2" Type="http://schemas.openxmlformats.org/officeDocument/2006/relationships/customXml" Target="../customXml/item2.xml"/><Relationship Id="rId16" Type="http://schemas.openxmlformats.org/officeDocument/2006/relationships/hyperlink" Target="mailto:mariette.nubahimana@inserm.fr" TargetMode="External"/><Relationship Id="rId20" Type="http://schemas.openxmlformats.org/officeDocument/2006/relationships/hyperlink" Target="https://communaute.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s.lyon@inserm.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sabelle.vastico@inserm.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et@matt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daj/formulaires-declaration-du-candidat"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0" ma:contentTypeDescription="Crée un document." ma:contentTypeScope="" ma:versionID="b54fcfc908f8fbf02ef3d8a9915e4cd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5FFA9A-BABE-4D91-AD79-81B0584B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A7FF5B-E56A-4489-A9F1-979C29F2A654}">
  <ds:schemaRefs>
    <ds:schemaRef ds:uri="http://schemas.openxmlformats.org/officeDocument/2006/bibliography"/>
  </ds:schemaRefs>
</ds:datastoreItem>
</file>

<file path=customXml/itemProps3.xml><?xml version="1.0" encoding="utf-8"?>
<ds:datastoreItem xmlns:ds="http://schemas.openxmlformats.org/officeDocument/2006/customXml" ds:itemID="{1024BF83-CD0E-41E8-B919-3ADEF33A4E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B31BB7-6593-486D-A365-FC4A375E00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8256</Words>
  <Characters>45409</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Laetitia CLERGET;"Lise VIGNAL" &lt;lise.vignal@inserm.fr&gt;</dc:creator>
  <cp:keywords/>
  <dc:description/>
  <cp:lastModifiedBy>Isabelle VASTICO</cp:lastModifiedBy>
  <cp:revision>8</cp:revision>
  <dcterms:created xsi:type="dcterms:W3CDTF">2025-09-30T06:19:00Z</dcterms:created>
  <dcterms:modified xsi:type="dcterms:W3CDTF">2025-10-28T09:14:00Z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